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40AA" w14:textId="77777777" w:rsidR="00A63A80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14380</w:t>
      </w:r>
    </w:p>
    <w:p w14:paraId="226384D7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Naziv korisnika: </w:t>
      </w:r>
      <w:r>
        <w:rPr>
          <w:rFonts w:ascii="Times New Roman" w:hAnsi="Times New Roman" w:cs="Times New Roman"/>
          <w:sz w:val="24"/>
          <w:szCs w:val="24"/>
        </w:rPr>
        <w:t>Umjetnička Škola Franje Lučića</w:t>
      </w:r>
    </w:p>
    <w:p w14:paraId="5EEBDFBB" w14:textId="77777777" w:rsidR="00A63A80" w:rsidRPr="00027312" w:rsidRDefault="00A63A80" w:rsidP="00A63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12">
        <w:rPr>
          <w:rFonts w:ascii="Times New Roman" w:hAnsi="Times New Roman" w:cs="Times New Roman"/>
          <w:sz w:val="24"/>
          <w:szCs w:val="24"/>
        </w:rPr>
        <w:t xml:space="preserve">Adresa korisnika: </w:t>
      </w:r>
      <w:r>
        <w:rPr>
          <w:rFonts w:ascii="Times New Roman" w:hAnsi="Times New Roman" w:cs="Times New Roman"/>
          <w:sz w:val="24"/>
          <w:szCs w:val="24"/>
        </w:rPr>
        <w:t>Slavka Kolara 39</w:t>
      </w:r>
      <w:r w:rsidRPr="00027312">
        <w:rPr>
          <w:rFonts w:ascii="Times New Roman" w:hAnsi="Times New Roman" w:cs="Times New Roman"/>
          <w:sz w:val="24"/>
          <w:szCs w:val="24"/>
        </w:rPr>
        <w:t>, 10410 Velika Gorica</w:t>
      </w:r>
    </w:p>
    <w:p w14:paraId="19F2E88B" w14:textId="77777777" w:rsidR="00A63A80" w:rsidRPr="00667029" w:rsidRDefault="00A63A80" w:rsidP="00A63A80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16CFEDA5" w14:textId="77777777" w:rsidR="00A63A80" w:rsidRPr="00667029" w:rsidRDefault="00A63A80" w:rsidP="00A63A80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</w:rPr>
      </w:pPr>
      <w:r w:rsidRPr="00667029">
        <w:rPr>
          <w:rFonts w:ascii="Times New Roman" w:hAnsi="Times New Roman"/>
          <w:b/>
          <w:sz w:val="24"/>
        </w:rPr>
        <w:t>OBRAZLOŽENJE FINA</w:t>
      </w:r>
      <w:r>
        <w:rPr>
          <w:rFonts w:ascii="Times New Roman" w:hAnsi="Times New Roman"/>
          <w:b/>
          <w:sz w:val="24"/>
        </w:rPr>
        <w:t>NCIJSKOG PLANA ZA RAZDOBLJE 2024. - 2026</w:t>
      </w:r>
      <w:r w:rsidRPr="00667029">
        <w:rPr>
          <w:rFonts w:ascii="Times New Roman" w:hAnsi="Times New Roman"/>
          <w:b/>
          <w:sz w:val="24"/>
        </w:rPr>
        <w:t>.</w:t>
      </w:r>
    </w:p>
    <w:p w14:paraId="41DCA1EB" w14:textId="77777777" w:rsidR="00A63A80" w:rsidRPr="009E54C2" w:rsidRDefault="00A63A80" w:rsidP="00A63A80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52FDE3C2" w14:textId="77777777" w:rsidTr="003603D1">
        <w:tc>
          <w:tcPr>
            <w:tcW w:w="8925" w:type="dxa"/>
            <w:shd w:val="clear" w:color="auto" w:fill="E7E6E6" w:themeFill="background2"/>
          </w:tcPr>
          <w:p w14:paraId="483C7915" w14:textId="77777777" w:rsidR="00A63A80" w:rsidRPr="00832D31" w:rsidRDefault="00A63A80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D31">
              <w:rPr>
                <w:rFonts w:ascii="Times New Roman" w:hAnsi="Times New Roman" w:cs="Times New Roman"/>
                <w:b/>
                <w:sz w:val="28"/>
              </w:rPr>
              <w:t>1. UVOD</w:t>
            </w:r>
          </w:p>
        </w:tc>
      </w:tr>
    </w:tbl>
    <w:p w14:paraId="71176E1A" w14:textId="77777777" w:rsidR="00A63A80" w:rsidRDefault="00A63A80" w:rsidP="00A63A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AE7D97A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Umjetnička Škola Franje Lučića</w:t>
      </w:r>
      <w:r w:rsidRPr="002A53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 javna ustanova koja </w:t>
      </w:r>
      <w:r w:rsidRPr="002A53DE">
        <w:rPr>
          <w:rFonts w:ascii="Times New Roman" w:hAnsi="Times New Roman"/>
          <w:sz w:val="24"/>
        </w:rPr>
        <w:t>pruža osnovno</w:t>
      </w:r>
      <w:r>
        <w:rPr>
          <w:rFonts w:ascii="Times New Roman" w:hAnsi="Times New Roman"/>
          <w:sz w:val="24"/>
        </w:rPr>
        <w:t>školsko</w:t>
      </w:r>
      <w:r w:rsidRPr="002A53DE">
        <w:rPr>
          <w:rFonts w:ascii="Times New Roman" w:hAnsi="Times New Roman"/>
          <w:sz w:val="24"/>
        </w:rPr>
        <w:t xml:space="preserve"> obrazovanje </w:t>
      </w:r>
      <w:r>
        <w:rPr>
          <w:rFonts w:ascii="Times New Roman" w:hAnsi="Times New Roman"/>
          <w:sz w:val="24"/>
        </w:rPr>
        <w:t xml:space="preserve">i srednjoškolsko obrazovanje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</w:t>
      </w:r>
      <w:r w:rsidRPr="002A53D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Osnivač škole je grad Velika Gorica, a predstavlja ju i zastupa ravnatelj Borut Vidošević. </w:t>
      </w:r>
      <w:r w:rsidRPr="002A53DE">
        <w:rPr>
          <w:rFonts w:ascii="Times New Roman" w:hAnsi="Times New Roman"/>
          <w:sz w:val="24"/>
        </w:rPr>
        <w:t xml:space="preserve">Škola </w:t>
      </w:r>
      <w:r>
        <w:rPr>
          <w:rFonts w:ascii="Times New Roman" w:hAnsi="Times New Roman"/>
          <w:sz w:val="24"/>
        </w:rPr>
        <w:t>se nalazi na lokaciji Slavka Kolara 39 u Velikoj Gorici gdje se odvija nastava za oba programa, glazbeni i plesni.</w:t>
      </w:r>
    </w:p>
    <w:p w14:paraId="1B8EE4E1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53DE">
        <w:rPr>
          <w:rFonts w:ascii="Times New Roman" w:hAnsi="Times New Roman"/>
          <w:sz w:val="24"/>
        </w:rPr>
        <w:t>Nastava je organizirana u</w:t>
      </w:r>
      <w:r>
        <w:rPr>
          <w:rFonts w:ascii="Times New Roman" w:hAnsi="Times New Roman"/>
          <w:sz w:val="24"/>
        </w:rPr>
        <w:t xml:space="preserve"> jutarnjoj i popodnevnoj smjeni te se odvija prema nastavnom planu i programu Ministarstva znanosti i obrazovanja, godišnjem planu i programu rada škole te Školskom kurikulumu za školsku godinu 2023./2024. U školskoj godini 2023./2024. upisano je 508 učenika, dok je broj djelatnika 78.</w:t>
      </w:r>
    </w:p>
    <w:p w14:paraId="53EF511F" w14:textId="77777777" w:rsidR="00A63A80" w:rsidRPr="00683A94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832D31" w14:paraId="0F1EA5EE" w14:textId="77777777" w:rsidTr="003603D1">
        <w:trPr>
          <w:trHeight w:val="322"/>
        </w:trPr>
        <w:tc>
          <w:tcPr>
            <w:tcW w:w="8925" w:type="dxa"/>
            <w:shd w:val="clear" w:color="auto" w:fill="E7E6E6" w:themeFill="background2"/>
          </w:tcPr>
          <w:p w14:paraId="1F07F3BF" w14:textId="77777777" w:rsidR="00A63A80" w:rsidRPr="00832D31" w:rsidRDefault="00A63A80" w:rsidP="003603D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2D31">
              <w:rPr>
                <w:rFonts w:ascii="Times New Roman" w:hAnsi="Times New Roman" w:cs="Times New Roman"/>
                <w:b/>
                <w:sz w:val="28"/>
              </w:rPr>
              <w:t xml:space="preserve">2. OBRAZLOŽENJE PRIHODA/ RASHODA PO PRIRODNOJ VRSTI </w:t>
            </w:r>
          </w:p>
        </w:tc>
      </w:tr>
    </w:tbl>
    <w:p w14:paraId="25D05023" w14:textId="77777777" w:rsidR="00A63A80" w:rsidRPr="00832D31" w:rsidRDefault="00A63A80" w:rsidP="00A63A80">
      <w:pPr>
        <w:jc w:val="both"/>
        <w:rPr>
          <w:rFonts w:ascii="Times New Roman" w:hAnsi="Times New Roman" w:cs="Times New Roman"/>
        </w:rPr>
      </w:pPr>
    </w:p>
    <w:p w14:paraId="439F1CCA" w14:textId="77777777" w:rsidR="00A63A80" w:rsidRPr="00832D31" w:rsidRDefault="00A63A80" w:rsidP="00A63A80">
      <w:pPr>
        <w:jc w:val="both"/>
        <w:rPr>
          <w:rFonts w:ascii="Times New Roman" w:hAnsi="Times New Roman" w:cs="Times New Roman"/>
          <w:sz w:val="24"/>
        </w:rPr>
      </w:pPr>
      <w:r w:rsidRPr="00832D31">
        <w:rPr>
          <w:rFonts w:ascii="Times New Roman" w:hAnsi="Times New Roman" w:cs="Times New Roman"/>
          <w:sz w:val="24"/>
        </w:rPr>
        <w:t>2.1. PRIHODI I PRIMICI</w:t>
      </w:r>
    </w:p>
    <w:p w14:paraId="4A205590" w14:textId="77777777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9F4C27">
        <w:rPr>
          <w:rFonts w:ascii="Times New Roman" w:hAnsi="Times New Roman" w:cs="Times New Roman"/>
          <w:sz w:val="24"/>
          <w:szCs w:val="24"/>
        </w:rPr>
        <w:t xml:space="preserve">Prijedlogom Financijskog plana </w:t>
      </w:r>
      <w:r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>
        <w:rPr>
          <w:rFonts w:ascii="Times New Roman" w:hAnsi="Times New Roman" w:cs="Times New Roman"/>
          <w:sz w:val="24"/>
          <w:szCs w:val="24"/>
        </w:rPr>
        <w:t xml:space="preserve">planiraju se prihodi i primici u </w:t>
      </w:r>
      <w:r w:rsidRPr="009F4C27">
        <w:rPr>
          <w:rFonts w:ascii="Times New Roman" w:hAnsi="Times New Roman" w:cs="Times New Roman"/>
          <w:sz w:val="24"/>
          <w:szCs w:val="24"/>
        </w:rPr>
        <w:t xml:space="preserve">iznosu </w:t>
      </w:r>
      <w:r>
        <w:rPr>
          <w:rFonts w:ascii="Times New Roman" w:hAnsi="Times New Roman" w:cs="Times New Roman"/>
          <w:sz w:val="24"/>
          <w:szCs w:val="24"/>
        </w:rPr>
        <w:t>od 2.031.570,00 eur</w:t>
      </w:r>
      <w:r w:rsidRPr="00105CE7">
        <w:rPr>
          <w:rFonts w:ascii="Times New Roman" w:hAnsi="Times New Roman" w:cs="Times New Roman"/>
          <w:sz w:val="24"/>
          <w:szCs w:val="24"/>
        </w:rPr>
        <w:t>.</w:t>
      </w:r>
    </w:p>
    <w:p w14:paraId="557F4988" w14:textId="77777777" w:rsidR="00A63A80" w:rsidRDefault="00A63A80" w:rsidP="00A63A80">
      <w:pPr>
        <w:rPr>
          <w:rFonts w:ascii="Times New Roman" w:hAnsi="Times New Roman" w:cs="Times New Roman"/>
          <w:i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832D31">
        <w:rPr>
          <w:rFonts w:ascii="Times New Roman" w:hAnsi="Times New Roman" w:cs="Times New Roman"/>
          <w:i/>
          <w:sz w:val="24"/>
          <w:szCs w:val="24"/>
        </w:rPr>
        <w:t>- Prihod</w:t>
      </w:r>
      <w:r>
        <w:rPr>
          <w:rFonts w:ascii="Times New Roman" w:hAnsi="Times New Roman" w:cs="Times New Roman"/>
          <w:i/>
          <w:sz w:val="24"/>
          <w:szCs w:val="24"/>
        </w:rPr>
        <w:t xml:space="preserve"> po vrsti iskazani u Financijskom planu za razdoblje 2024. - 2026.</w:t>
      </w:r>
    </w:p>
    <w:tbl>
      <w:tblPr>
        <w:tblStyle w:val="PlainTable4"/>
        <w:tblW w:w="9072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645"/>
        <w:gridCol w:w="1620"/>
      </w:tblGrid>
      <w:tr w:rsidR="00A63A80" w:rsidRPr="00FB2A15" w14:paraId="7FE825FF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2"/>
          </w:tcPr>
          <w:p w14:paraId="0F34C68B" w14:textId="77777777" w:rsidR="00A63A80" w:rsidRPr="00FB2A15" w:rsidRDefault="00A63A80" w:rsidP="003603D1">
            <w:pPr>
              <w:contextualSpacing/>
              <w:jc w:val="center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</w:tcPr>
          <w:p w14:paraId="76B177B1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PLAN 2024. (€)</w:t>
            </w:r>
          </w:p>
        </w:tc>
        <w:tc>
          <w:tcPr>
            <w:tcW w:w="1645" w:type="dxa"/>
          </w:tcPr>
          <w:p w14:paraId="1149C028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PROJEKCIJE 2025.  (€)</w:t>
            </w:r>
          </w:p>
        </w:tc>
        <w:tc>
          <w:tcPr>
            <w:tcW w:w="1620" w:type="dxa"/>
            <w:hideMark/>
          </w:tcPr>
          <w:p w14:paraId="555D85F0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FB2A15">
              <w:rPr>
                <w:rFonts w:ascii="Times New Roman" w:hAnsi="Times New Roman"/>
                <w:lang w:eastAsia="hr-HR"/>
              </w:rPr>
              <w:t>PROJEKCIJE 2026. (€)</w:t>
            </w:r>
          </w:p>
        </w:tc>
      </w:tr>
      <w:tr w:rsidR="00A63A80" w:rsidRPr="008C5013" w14:paraId="65407E44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06915D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</w:t>
            </w:r>
          </w:p>
        </w:tc>
        <w:tc>
          <w:tcPr>
            <w:tcW w:w="3828" w:type="dxa"/>
          </w:tcPr>
          <w:p w14:paraId="7F035BA5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16637B">
              <w:rPr>
                <w:rFonts w:ascii="Times New Roman" w:hAnsi="Times New Roman"/>
                <w:b/>
                <w:lang w:eastAsia="hr-HR"/>
              </w:rPr>
              <w:t>PRIHODI POSLOVANJA</w:t>
            </w:r>
          </w:p>
        </w:tc>
        <w:tc>
          <w:tcPr>
            <w:tcW w:w="1417" w:type="dxa"/>
            <w:vAlign w:val="center"/>
          </w:tcPr>
          <w:p w14:paraId="3EDFD85B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2.031.570,00</w:t>
            </w:r>
          </w:p>
        </w:tc>
        <w:tc>
          <w:tcPr>
            <w:tcW w:w="1645" w:type="dxa"/>
            <w:vAlign w:val="center"/>
          </w:tcPr>
          <w:p w14:paraId="2C7BE803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</w:t>
            </w:r>
            <w:r w:rsidRPr="008C501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620" w:type="dxa"/>
            <w:vAlign w:val="center"/>
          </w:tcPr>
          <w:p w14:paraId="28808379" w14:textId="77777777" w:rsidR="00A63A80" w:rsidRPr="008C5013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</w:t>
            </w:r>
            <w:r w:rsidRPr="008C5013">
              <w:rPr>
                <w:rFonts w:ascii="Times New Roman" w:hAnsi="Times New Roman"/>
                <w:b/>
              </w:rPr>
              <w:t>,00</w:t>
            </w:r>
          </w:p>
        </w:tc>
      </w:tr>
      <w:tr w:rsidR="00A63A80" w:rsidRPr="0016637B" w14:paraId="2BCD4B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38D137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63</w:t>
            </w:r>
          </w:p>
        </w:tc>
        <w:tc>
          <w:tcPr>
            <w:tcW w:w="3828" w:type="dxa"/>
            <w:hideMark/>
          </w:tcPr>
          <w:p w14:paraId="7CBF1500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Pomoći od inozemstva i od subjekata unutar općeg proračuna</w:t>
            </w:r>
          </w:p>
        </w:tc>
        <w:tc>
          <w:tcPr>
            <w:tcW w:w="1417" w:type="dxa"/>
            <w:vAlign w:val="center"/>
          </w:tcPr>
          <w:p w14:paraId="4995A21A" w14:textId="77777777" w:rsidR="00A63A80" w:rsidRPr="00751942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751942">
              <w:rPr>
                <w:rFonts w:ascii="Times New Roman" w:eastAsia="Times New Roman" w:hAnsi="Times New Roman" w:cs="Times New Roman"/>
                <w:lang w:eastAsia="hr-HR"/>
              </w:rPr>
              <w:t>1.889.070,00</w:t>
            </w:r>
          </w:p>
          <w:p w14:paraId="0C789817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645" w:type="dxa"/>
            <w:vAlign w:val="center"/>
          </w:tcPr>
          <w:p w14:paraId="096F5944" w14:textId="77777777" w:rsidR="00A63A80" w:rsidRPr="00832D31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751942">
              <w:rPr>
                <w:rFonts w:ascii="Times New Roman" w:eastAsia="Times New Roman" w:hAnsi="Times New Roman" w:cs="Times New Roman"/>
                <w:lang w:eastAsia="hr-HR"/>
              </w:rPr>
              <w:t>1.907.785,00</w:t>
            </w:r>
          </w:p>
          <w:p w14:paraId="0FC02DF1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620" w:type="dxa"/>
            <w:vAlign w:val="center"/>
            <w:hideMark/>
          </w:tcPr>
          <w:p w14:paraId="5AAF3EC8" w14:textId="77777777" w:rsidR="00A63A80" w:rsidRPr="00832D31" w:rsidRDefault="00A63A80" w:rsidP="003603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1.907.785,00</w:t>
            </w:r>
          </w:p>
          <w:p w14:paraId="10085C6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</w:p>
        </w:tc>
      </w:tr>
      <w:tr w:rsidR="00A63A80" w:rsidRPr="0016637B" w14:paraId="139DC0E7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C64DE6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64</w:t>
            </w:r>
          </w:p>
        </w:tc>
        <w:tc>
          <w:tcPr>
            <w:tcW w:w="3828" w:type="dxa"/>
          </w:tcPr>
          <w:p w14:paraId="3BA778A0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imovine</w:t>
            </w:r>
          </w:p>
        </w:tc>
        <w:tc>
          <w:tcPr>
            <w:tcW w:w="1417" w:type="dxa"/>
            <w:vAlign w:val="center"/>
          </w:tcPr>
          <w:p w14:paraId="22CB6692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702ABDB6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  <w:hideMark/>
          </w:tcPr>
          <w:p w14:paraId="32BCE4AE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16637B" w14:paraId="74ACF234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FE21A8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65</w:t>
            </w:r>
          </w:p>
        </w:tc>
        <w:tc>
          <w:tcPr>
            <w:tcW w:w="3828" w:type="dxa"/>
          </w:tcPr>
          <w:p w14:paraId="215DE54D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upravnih i administrativnih pristojbi, prihodi po posebnim propisima i naknada</w:t>
            </w:r>
          </w:p>
        </w:tc>
        <w:tc>
          <w:tcPr>
            <w:tcW w:w="1417" w:type="dxa"/>
            <w:vAlign w:val="center"/>
          </w:tcPr>
          <w:p w14:paraId="2A328873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120.000,00</w:t>
            </w:r>
          </w:p>
        </w:tc>
        <w:tc>
          <w:tcPr>
            <w:tcW w:w="1645" w:type="dxa"/>
            <w:vAlign w:val="center"/>
          </w:tcPr>
          <w:p w14:paraId="6FA97692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127.050,00</w:t>
            </w:r>
          </w:p>
        </w:tc>
        <w:tc>
          <w:tcPr>
            <w:tcW w:w="1620" w:type="dxa"/>
            <w:vAlign w:val="center"/>
            <w:hideMark/>
          </w:tcPr>
          <w:p w14:paraId="5336B43A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127.050,00</w:t>
            </w:r>
          </w:p>
        </w:tc>
      </w:tr>
      <w:tr w:rsidR="00A63A80" w:rsidRPr="0016637B" w14:paraId="12B36289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D4ACA1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66</w:t>
            </w:r>
          </w:p>
        </w:tc>
        <w:tc>
          <w:tcPr>
            <w:tcW w:w="3828" w:type="dxa"/>
          </w:tcPr>
          <w:p w14:paraId="5EEF5A27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417" w:type="dxa"/>
            <w:vAlign w:val="center"/>
          </w:tcPr>
          <w:p w14:paraId="1F6276D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1.00</w:t>
            </w: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1F74F1F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0</w:t>
            </w:r>
            <w:r w:rsidRPr="0016637B">
              <w:rPr>
                <w:rFonts w:ascii="Times New Roman" w:hAnsi="Times New Roman"/>
              </w:rPr>
              <w:t>,00</w:t>
            </w:r>
          </w:p>
        </w:tc>
        <w:tc>
          <w:tcPr>
            <w:tcW w:w="1620" w:type="dxa"/>
            <w:vAlign w:val="center"/>
            <w:hideMark/>
          </w:tcPr>
          <w:p w14:paraId="64725F00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</w:rPr>
              <w:t>0</w:t>
            </w:r>
            <w:r w:rsidRPr="0016637B">
              <w:rPr>
                <w:rFonts w:ascii="Times New Roman" w:hAnsi="Times New Roman"/>
              </w:rPr>
              <w:t>,00</w:t>
            </w:r>
          </w:p>
        </w:tc>
      </w:tr>
      <w:tr w:rsidR="00A63A80" w:rsidRPr="0016637B" w14:paraId="54A1D4F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6D7EBF4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67</w:t>
            </w:r>
          </w:p>
        </w:tc>
        <w:tc>
          <w:tcPr>
            <w:tcW w:w="3828" w:type="dxa"/>
          </w:tcPr>
          <w:p w14:paraId="24839C60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iz nadležnog proračuna i od HZZO-a temeljem ugovorenih obveza</w:t>
            </w:r>
          </w:p>
        </w:tc>
        <w:tc>
          <w:tcPr>
            <w:tcW w:w="1417" w:type="dxa"/>
            <w:vAlign w:val="center"/>
          </w:tcPr>
          <w:p w14:paraId="6812D33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  <w:tc>
          <w:tcPr>
            <w:tcW w:w="1645" w:type="dxa"/>
            <w:vAlign w:val="center"/>
          </w:tcPr>
          <w:p w14:paraId="353D8B45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  <w:tc>
          <w:tcPr>
            <w:tcW w:w="1620" w:type="dxa"/>
            <w:vAlign w:val="center"/>
          </w:tcPr>
          <w:p w14:paraId="1514A8F1" w14:textId="77777777" w:rsidR="00A63A80" w:rsidRPr="0016637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21.500,00</w:t>
            </w:r>
          </w:p>
        </w:tc>
      </w:tr>
      <w:tr w:rsidR="00A63A80" w:rsidRPr="0016637B" w14:paraId="4E3C4175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747A32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68</w:t>
            </w:r>
          </w:p>
        </w:tc>
        <w:tc>
          <w:tcPr>
            <w:tcW w:w="3828" w:type="dxa"/>
          </w:tcPr>
          <w:p w14:paraId="1280C847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Kazne, upravne mjere i ostali prihodi</w:t>
            </w:r>
          </w:p>
        </w:tc>
        <w:tc>
          <w:tcPr>
            <w:tcW w:w="1417" w:type="dxa"/>
            <w:vAlign w:val="center"/>
          </w:tcPr>
          <w:p w14:paraId="719005C9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3D3AE07D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  <w:hideMark/>
          </w:tcPr>
          <w:p w14:paraId="16C2E79D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8C5013" w14:paraId="6B10BC0E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8A81405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7</w:t>
            </w:r>
          </w:p>
        </w:tc>
        <w:tc>
          <w:tcPr>
            <w:tcW w:w="3828" w:type="dxa"/>
          </w:tcPr>
          <w:p w14:paraId="631500F2" w14:textId="77777777" w:rsidR="00A63A80" w:rsidRPr="0016637B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16637B">
              <w:rPr>
                <w:rFonts w:ascii="Times New Roman" w:hAnsi="Times New Roman"/>
                <w:b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vAlign w:val="center"/>
          </w:tcPr>
          <w:p w14:paraId="37D22AF1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645" w:type="dxa"/>
            <w:vAlign w:val="center"/>
          </w:tcPr>
          <w:p w14:paraId="14C63007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620" w:type="dxa"/>
            <w:vAlign w:val="center"/>
          </w:tcPr>
          <w:p w14:paraId="122D332B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hr-HR"/>
              </w:rPr>
            </w:pPr>
            <w:r w:rsidRPr="008C5013">
              <w:rPr>
                <w:rFonts w:ascii="Times New Roman" w:hAnsi="Times New Roman"/>
                <w:b/>
              </w:rPr>
              <w:t>0,00</w:t>
            </w:r>
          </w:p>
        </w:tc>
      </w:tr>
      <w:tr w:rsidR="00A63A80" w:rsidRPr="0016637B" w14:paraId="73762F28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C0B5134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72</w:t>
            </w:r>
          </w:p>
        </w:tc>
        <w:tc>
          <w:tcPr>
            <w:tcW w:w="3828" w:type="dxa"/>
          </w:tcPr>
          <w:p w14:paraId="59373C4A" w14:textId="77777777" w:rsidR="00A63A80" w:rsidRPr="0016637B" w:rsidRDefault="00A63A80" w:rsidP="003603D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  <w:lang w:eastAsia="hr-HR"/>
              </w:rPr>
              <w:t>Prihodi od prodaje proizvedene dugotrajne imovine</w:t>
            </w:r>
          </w:p>
        </w:tc>
        <w:tc>
          <w:tcPr>
            <w:tcW w:w="1417" w:type="dxa"/>
            <w:vAlign w:val="center"/>
          </w:tcPr>
          <w:p w14:paraId="3710BB39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45" w:type="dxa"/>
            <w:vAlign w:val="center"/>
          </w:tcPr>
          <w:p w14:paraId="17EB5978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  <w:tc>
          <w:tcPr>
            <w:tcW w:w="1620" w:type="dxa"/>
            <w:vAlign w:val="center"/>
          </w:tcPr>
          <w:p w14:paraId="3AD40951" w14:textId="77777777" w:rsidR="00A63A80" w:rsidRPr="0016637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hr-HR"/>
              </w:rPr>
            </w:pPr>
            <w:r w:rsidRPr="0016637B">
              <w:rPr>
                <w:rFonts w:ascii="Times New Roman" w:hAnsi="Times New Roman"/>
              </w:rPr>
              <w:t>0,00</w:t>
            </w:r>
          </w:p>
        </w:tc>
      </w:tr>
      <w:tr w:rsidR="00A63A80" w:rsidRPr="008C5013" w14:paraId="12803F3D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7FBFD5B" w14:textId="77777777" w:rsidR="00A63A80" w:rsidRPr="0016637B" w:rsidRDefault="00A63A80" w:rsidP="003603D1">
            <w:pPr>
              <w:contextualSpacing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828" w:type="dxa"/>
            <w:hideMark/>
          </w:tcPr>
          <w:p w14:paraId="39334E39" w14:textId="77777777" w:rsidR="00A63A80" w:rsidRPr="008C5013" w:rsidRDefault="00A63A80" w:rsidP="003603D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 w:rsidRPr="008C5013">
              <w:rPr>
                <w:rFonts w:ascii="Times New Roman" w:hAnsi="Times New Roman"/>
                <w:b/>
                <w:lang w:eastAsia="hr-HR"/>
              </w:rPr>
              <w:t>UKUPNI PRIHODI</w:t>
            </w:r>
          </w:p>
        </w:tc>
        <w:tc>
          <w:tcPr>
            <w:tcW w:w="1417" w:type="dxa"/>
            <w:vAlign w:val="center"/>
          </w:tcPr>
          <w:p w14:paraId="004CA319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2.031.570,00</w:t>
            </w:r>
          </w:p>
        </w:tc>
        <w:tc>
          <w:tcPr>
            <w:tcW w:w="1645" w:type="dxa"/>
            <w:vAlign w:val="center"/>
          </w:tcPr>
          <w:p w14:paraId="1719A703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2.056.335,00</w:t>
            </w:r>
          </w:p>
        </w:tc>
        <w:tc>
          <w:tcPr>
            <w:tcW w:w="1620" w:type="dxa"/>
            <w:vAlign w:val="center"/>
            <w:hideMark/>
          </w:tcPr>
          <w:p w14:paraId="4E28E905" w14:textId="77777777" w:rsidR="00A63A80" w:rsidRPr="008C5013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</w:rPr>
              <w:t>2.056.335,00</w:t>
            </w:r>
          </w:p>
        </w:tc>
      </w:tr>
    </w:tbl>
    <w:p w14:paraId="5D06CBB8" w14:textId="77777777" w:rsidR="00A63A80" w:rsidRDefault="00A63A80" w:rsidP="00A63A80">
      <w:pPr>
        <w:rPr>
          <w:rFonts w:ascii="Times New Roman" w:hAnsi="Times New Roman" w:cs="Times New Roman"/>
          <w:i/>
          <w:sz w:val="24"/>
          <w:szCs w:val="24"/>
        </w:rPr>
      </w:pPr>
    </w:p>
    <w:p w14:paraId="68C23366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>Iz sredstava državnog prorač</w:t>
      </w:r>
      <w:r>
        <w:rPr>
          <w:rFonts w:ascii="Times New Roman" w:eastAsia="Calibri" w:hAnsi="Times New Roman" w:cs="Times New Roman"/>
          <w:sz w:val="24"/>
          <w:szCs w:val="24"/>
        </w:rPr>
        <w:t xml:space="preserve">una očekuje se 1.828.785,00 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koji su </w:t>
      </w:r>
      <w:r w:rsidRPr="00105CE7">
        <w:rPr>
          <w:rFonts w:ascii="Times New Roman" w:eastAsia="Calibri" w:hAnsi="Times New Roman" w:cs="Times New Roman"/>
          <w:sz w:val="24"/>
          <w:szCs w:val="24"/>
        </w:rPr>
        <w:t>namijenjen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za isplate plaća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mentorstva </w:t>
      </w:r>
      <w:r w:rsidRPr="00105CE7">
        <w:rPr>
          <w:rFonts w:ascii="Times New Roman" w:eastAsia="Calibri" w:hAnsi="Times New Roman" w:cs="Times New Roman"/>
          <w:sz w:val="24"/>
          <w:szCs w:val="24"/>
        </w:rPr>
        <w:t>i materijalnih prava zaposlenicima škole. Iz sredstava pomoći Zagrebačke županije očekuju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 u visini 60.285,00 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kojima se planira sufinanciranje materijalnih rashoda, od kojih je većina sredstava planirana za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105CE7">
        <w:rPr>
          <w:rFonts w:ascii="Times New Roman" w:eastAsia="Calibri" w:hAnsi="Times New Roman" w:cs="Times New Roman"/>
          <w:sz w:val="24"/>
          <w:szCs w:val="24"/>
        </w:rPr>
        <w:t>aknade troškova zaposlenicima (naknade za prijevoz na posao i s posla).</w:t>
      </w:r>
    </w:p>
    <w:p w14:paraId="7D3ABCEC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EA704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Prihodi od </w:t>
      </w:r>
      <w:r>
        <w:rPr>
          <w:rFonts w:ascii="Times New Roman" w:eastAsia="Calibri" w:hAnsi="Times New Roman" w:cs="Times New Roman"/>
          <w:sz w:val="24"/>
          <w:szCs w:val="24"/>
        </w:rPr>
        <w:t xml:space="preserve">upravih i </w:t>
      </w:r>
      <w:r w:rsidRPr="00105CE7">
        <w:rPr>
          <w:rFonts w:ascii="Times New Roman" w:eastAsia="Calibri" w:hAnsi="Times New Roman" w:cs="Times New Roman"/>
          <w:sz w:val="24"/>
          <w:szCs w:val="24"/>
        </w:rPr>
        <w:t>administrativnih pristojbi i pristojbi po posebnim propisima i naknada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 planiraj</w:t>
      </w:r>
      <w:r>
        <w:rPr>
          <w:rFonts w:ascii="Times New Roman" w:eastAsia="Calibri" w:hAnsi="Times New Roman" w:cs="Times New Roman"/>
          <w:sz w:val="24"/>
          <w:szCs w:val="24"/>
        </w:rPr>
        <w:t xml:space="preserve">u se u iznosu od 120.000,00 eur </w:t>
      </w:r>
      <w:r w:rsidRPr="00105CE7">
        <w:rPr>
          <w:rFonts w:ascii="Times New Roman" w:eastAsia="Calibri" w:hAnsi="Times New Roman" w:cs="Times New Roman"/>
          <w:sz w:val="24"/>
          <w:szCs w:val="24"/>
        </w:rPr>
        <w:t xml:space="preserve">. Iznos se u cijelosti odnosi na prihode vezane uz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05CE7">
        <w:rPr>
          <w:rFonts w:ascii="Times New Roman" w:eastAsia="Calibri" w:hAnsi="Times New Roman" w:cs="Times New Roman"/>
          <w:sz w:val="24"/>
          <w:szCs w:val="24"/>
        </w:rPr>
        <w:t>ufinanciranje cijene usluge, participacije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školarini.</w:t>
      </w:r>
    </w:p>
    <w:p w14:paraId="1D0A12E8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40894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Prihodi od donacija odnose se na donacije dobivene od pravnih i fizičkih osoba izvan općeg proračuna, a koriste se najčešće za sufinanciranje troškova glazbenih i plesnih priredbi i nastupa te su za 2024. godinu planirani u iznosu od 1.000,00 eur.</w:t>
      </w:r>
    </w:p>
    <w:p w14:paraId="3249D56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558BCC3E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0A23FF">
        <w:rPr>
          <w:rFonts w:ascii="Times New Roman" w:hAnsi="Times New Roman" w:cs="Times New Roman"/>
          <w:sz w:val="24"/>
        </w:rPr>
        <w:t xml:space="preserve">Prihodi za 2025. i 2026. godinu planirani su </w:t>
      </w:r>
      <w:r>
        <w:rPr>
          <w:rFonts w:ascii="Times New Roman" w:hAnsi="Times New Roman" w:cs="Times New Roman"/>
          <w:sz w:val="24"/>
        </w:rPr>
        <w:t>većem</w:t>
      </w:r>
      <w:r w:rsidRPr="000A23FF">
        <w:rPr>
          <w:rFonts w:ascii="Times New Roman" w:hAnsi="Times New Roman" w:cs="Times New Roman"/>
          <w:sz w:val="24"/>
        </w:rPr>
        <w:t xml:space="preserve"> iznosu </w:t>
      </w:r>
      <w:r>
        <w:rPr>
          <w:rFonts w:ascii="Times New Roman" w:hAnsi="Times New Roman" w:cs="Times New Roman"/>
          <w:sz w:val="24"/>
        </w:rPr>
        <w:t>od</w:t>
      </w:r>
      <w:r w:rsidRPr="000A23FF">
        <w:rPr>
          <w:rFonts w:ascii="Times New Roman" w:hAnsi="Times New Roman" w:cs="Times New Roman"/>
          <w:sz w:val="24"/>
        </w:rPr>
        <w:t xml:space="preserve"> 2024. godin</w:t>
      </w:r>
      <w:r>
        <w:rPr>
          <w:rFonts w:ascii="Times New Roman" w:hAnsi="Times New Roman" w:cs="Times New Roman"/>
          <w:sz w:val="24"/>
        </w:rPr>
        <w:t>e</w:t>
      </w:r>
      <w:r w:rsidRPr="000A23F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očekuju se veći rashodi prijevoza zaposlenika do i s posla zbog većeg broja oporezivanih prijevoza po kilometraži što je rezultat rasta prihoda p</w:t>
      </w:r>
      <w:r w:rsidRPr="000A23FF">
        <w:rPr>
          <w:rFonts w:ascii="Times New Roman" w:hAnsi="Times New Roman" w:cs="Times New Roman"/>
          <w:sz w:val="24"/>
        </w:rPr>
        <w:t>omoći od inozemstva i od subjekata unutar općeg proračuna</w:t>
      </w:r>
      <w:r>
        <w:rPr>
          <w:rFonts w:ascii="Times New Roman" w:hAnsi="Times New Roman" w:cs="Times New Roman"/>
          <w:sz w:val="24"/>
        </w:rPr>
        <w:t xml:space="preserve">, planira se i rast prihoda </w:t>
      </w:r>
      <w:r w:rsidRPr="000A23FF">
        <w:rPr>
          <w:rFonts w:ascii="Times New Roman" w:hAnsi="Times New Roman" w:cs="Times New Roman"/>
          <w:sz w:val="24"/>
        </w:rPr>
        <w:t>po posebnim propisima i naknada</w:t>
      </w:r>
      <w:r>
        <w:rPr>
          <w:rFonts w:ascii="Times New Roman" w:hAnsi="Times New Roman" w:cs="Times New Roman"/>
          <w:sz w:val="24"/>
        </w:rPr>
        <w:t xml:space="preserve"> što  je rezultat planiranog povećanja cijene participacije učenika u nastavi.</w:t>
      </w:r>
    </w:p>
    <w:p w14:paraId="6F2756D7" w14:textId="77777777" w:rsidR="00A63A80" w:rsidRPr="0021785B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832D31">
        <w:rPr>
          <w:rFonts w:ascii="Times New Roman" w:hAnsi="Times New Roman" w:cs="Times New Roman"/>
          <w:i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i/>
          <w:sz w:val="24"/>
          <w:szCs w:val="24"/>
        </w:rPr>
        <w:t>2.</w:t>
      </w:r>
      <w:r w:rsidRPr="00832D31">
        <w:rPr>
          <w:rFonts w:ascii="Times New Roman" w:hAnsi="Times New Roman" w:cs="Times New Roman"/>
          <w:i/>
          <w:sz w:val="24"/>
          <w:szCs w:val="24"/>
        </w:rPr>
        <w:t>– Višak prihoda poslovanja</w:t>
      </w:r>
      <w:r>
        <w:rPr>
          <w:rFonts w:ascii="Times New Roman" w:hAnsi="Times New Roman" w:cs="Times New Roman"/>
          <w:i/>
          <w:sz w:val="24"/>
          <w:szCs w:val="24"/>
        </w:rPr>
        <w:t xml:space="preserve"> planiran za 2024. godinu</w:t>
      </w:r>
    </w:p>
    <w:tbl>
      <w:tblPr>
        <w:tblStyle w:val="GridTable6Colorful-Accent3"/>
        <w:tblW w:w="9062" w:type="dxa"/>
        <w:tblLook w:val="04A0" w:firstRow="1" w:lastRow="0" w:firstColumn="1" w:lastColumn="0" w:noHBand="0" w:noVBand="1"/>
      </w:tblPr>
      <w:tblGrid>
        <w:gridCol w:w="846"/>
        <w:gridCol w:w="6527"/>
        <w:gridCol w:w="1689"/>
      </w:tblGrid>
      <w:tr w:rsidR="00A63A80" w:rsidRPr="00832D31" w14:paraId="7254E1F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3" w:type="dxa"/>
            <w:gridSpan w:val="2"/>
          </w:tcPr>
          <w:p w14:paraId="533B5AA9" w14:textId="77777777" w:rsidR="00A63A80" w:rsidRPr="00832D31" w:rsidRDefault="00A63A80" w:rsidP="003603D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 xml:space="preserve"> VIŠKOVI PRIHODA POSLOVANJA</w:t>
            </w:r>
          </w:p>
        </w:tc>
        <w:tc>
          <w:tcPr>
            <w:tcW w:w="1689" w:type="dxa"/>
          </w:tcPr>
          <w:p w14:paraId="2711D63E" w14:textId="77777777" w:rsidR="00A63A80" w:rsidRPr="00832D31" w:rsidRDefault="00A63A80" w:rsidP="003603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PLAN 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lang w:eastAsia="hr-HR"/>
              </w:rPr>
              <w:t xml:space="preserve">2024. </w:t>
            </w: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(€)</w:t>
            </w:r>
          </w:p>
        </w:tc>
      </w:tr>
      <w:tr w:rsidR="00A63A80" w:rsidRPr="00832D31" w14:paraId="1DF6BCA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6E7C1B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4.3.20.</w:t>
            </w:r>
          </w:p>
        </w:tc>
        <w:tc>
          <w:tcPr>
            <w:tcW w:w="6527" w:type="dxa"/>
            <w:hideMark/>
          </w:tcPr>
          <w:p w14:paraId="529BDF84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832D31"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Višak prihoda od sufinanciranja cijene usluge, participacije i slično</w:t>
            </w:r>
          </w:p>
        </w:tc>
        <w:tc>
          <w:tcPr>
            <w:tcW w:w="1689" w:type="dxa"/>
          </w:tcPr>
          <w:p w14:paraId="40DA9E46" w14:textId="77777777" w:rsidR="00A63A80" w:rsidRPr="00832D31" w:rsidRDefault="00A63A80" w:rsidP="00360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hr-HR"/>
              </w:rPr>
              <w:t>2.000,00</w:t>
            </w:r>
          </w:p>
        </w:tc>
      </w:tr>
      <w:tr w:rsidR="00A63A80" w:rsidRPr="00832D31" w14:paraId="6B04DC1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B0D2C6" w14:textId="77777777" w:rsidR="00A63A80" w:rsidRPr="00832D31" w:rsidRDefault="00A63A80" w:rsidP="003603D1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527" w:type="dxa"/>
            <w:hideMark/>
          </w:tcPr>
          <w:p w14:paraId="2392C9ED" w14:textId="77777777" w:rsidR="00A63A80" w:rsidRPr="000C4CDF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 w:rsidRPr="000C4CDF"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UKUPNI VIŠAK</w:t>
            </w:r>
          </w:p>
        </w:tc>
        <w:tc>
          <w:tcPr>
            <w:tcW w:w="1689" w:type="dxa"/>
          </w:tcPr>
          <w:p w14:paraId="51595453" w14:textId="77777777" w:rsidR="00A63A80" w:rsidRPr="00134F17" w:rsidRDefault="00A63A80" w:rsidP="003603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hr-HR"/>
              </w:rPr>
              <w:t>2.000,00</w:t>
            </w:r>
          </w:p>
        </w:tc>
      </w:tr>
    </w:tbl>
    <w:p w14:paraId="347BC2A2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0AE692E7" w14:textId="77777777" w:rsidR="00A63A80" w:rsidRPr="00612B54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od sufinanciranja cijene usluge (4.3.20) se odnosi na višak koji će ostati od uplate roditelja za sufinanciranje cijene usluge, a koji škola nije potrošila tijekom godine. Prihod planiramo upotrijebiti materijal potreban za redovno poslovanje (32).</w:t>
      </w:r>
    </w:p>
    <w:p w14:paraId="4A9E576C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RASHODI I IZDACI </w:t>
      </w:r>
    </w:p>
    <w:p w14:paraId="378CAA38" w14:textId="77777777" w:rsidR="00A63A80" w:rsidRPr="00EC5E88" w:rsidRDefault="00A63A80" w:rsidP="00A63A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C27">
        <w:rPr>
          <w:rFonts w:ascii="Times New Roman" w:hAnsi="Times New Roman" w:cs="Times New Roman"/>
          <w:sz w:val="24"/>
          <w:szCs w:val="24"/>
        </w:rPr>
        <w:t xml:space="preserve">Prijedlogom Financijskog plana </w:t>
      </w:r>
      <w:r>
        <w:rPr>
          <w:rFonts w:ascii="Times New Roman" w:hAnsi="Times New Roman" w:cs="Times New Roman"/>
          <w:sz w:val="24"/>
          <w:szCs w:val="24"/>
        </w:rPr>
        <w:t xml:space="preserve">Umjetničke Škole Franje Lučića </w:t>
      </w:r>
      <w:r w:rsidRPr="009F4C27">
        <w:rPr>
          <w:rFonts w:ascii="Times New Roman" w:hAnsi="Times New Roman" w:cs="Times New Roman"/>
          <w:sz w:val="24"/>
          <w:szCs w:val="24"/>
        </w:rPr>
        <w:t xml:space="preserve">za 2024. godinu </w:t>
      </w:r>
      <w:r>
        <w:rPr>
          <w:rFonts w:ascii="Times New Roman" w:hAnsi="Times New Roman" w:cs="Times New Roman"/>
          <w:sz w:val="24"/>
          <w:szCs w:val="24"/>
        </w:rPr>
        <w:t xml:space="preserve">planiraju se rashodi i izdaci u </w:t>
      </w:r>
      <w:r w:rsidRPr="009F4C27">
        <w:rPr>
          <w:rFonts w:ascii="Times New Roman" w:hAnsi="Times New Roman" w:cs="Times New Roman"/>
          <w:sz w:val="24"/>
          <w:szCs w:val="24"/>
        </w:rPr>
        <w:t xml:space="preserve">iznosu od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Pr="00DD3798">
        <w:rPr>
          <w:rFonts w:ascii="Times New Roman" w:eastAsia="Times New Roman" w:hAnsi="Times New Roman" w:cs="Times New Roman"/>
          <w:sz w:val="24"/>
          <w:szCs w:val="24"/>
          <w:lang w:eastAsia="hr-HR"/>
        </w:rPr>
        <w:t>2.033.570,00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.</w:t>
      </w:r>
    </w:p>
    <w:p w14:paraId="2A6AF3F9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31 – r</w:t>
      </w:r>
      <w:r w:rsidRPr="00311703">
        <w:rPr>
          <w:rFonts w:ascii="Times New Roman" w:hAnsi="Times New Roman" w:cs="Times New Roman"/>
          <w:sz w:val="24"/>
          <w:szCs w:val="24"/>
        </w:rPr>
        <w:t xml:space="preserve">ashodi za zaposlene u Umjetničkoj Školi Franje Lučića u 2024. planirani su u visini 1.820.135,00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311703">
        <w:rPr>
          <w:rFonts w:ascii="Times New Roman" w:hAnsi="Times New Roman" w:cs="Times New Roman"/>
          <w:sz w:val="24"/>
          <w:szCs w:val="24"/>
        </w:rPr>
        <w:t xml:space="preserve">. U ukupnim rashodima za zaposlene 1.815.135,00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311703">
        <w:rPr>
          <w:rFonts w:ascii="Times New Roman" w:hAnsi="Times New Roman" w:cs="Times New Roman"/>
          <w:sz w:val="24"/>
          <w:szCs w:val="24"/>
        </w:rPr>
        <w:t xml:space="preserve"> ili 99,7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311703">
        <w:rPr>
          <w:rFonts w:ascii="Times New Roman" w:hAnsi="Times New Roman" w:cs="Times New Roman"/>
          <w:sz w:val="24"/>
          <w:szCs w:val="24"/>
        </w:rPr>
        <w:t>% ukupnih rashoda za zaposlene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03">
        <w:rPr>
          <w:rFonts w:ascii="Times New Roman" w:hAnsi="Times New Roman" w:cs="Times New Roman"/>
          <w:sz w:val="24"/>
          <w:szCs w:val="24"/>
        </w:rPr>
        <w:t xml:space="preserve">financiraju iz sredstava Državne riznice. </w:t>
      </w:r>
      <w:r>
        <w:rPr>
          <w:rFonts w:ascii="Times New Roman" w:hAnsi="Times New Roman" w:cs="Times New Roman"/>
          <w:sz w:val="24"/>
          <w:szCs w:val="24"/>
        </w:rPr>
        <w:t xml:space="preserve">Osim plaća, rashodi za zaposlene obuhvaćaju i isplatu materijalnih prava, jubilarnih nagrada, regresa za korištenje godišnjeg odmora, pomoći za duže bolovanje radnika, božićnica, uskrsnica, pomoći za rođenje djeteta, dar djeci i slično. </w:t>
      </w:r>
      <w:r w:rsidRPr="00311703">
        <w:rPr>
          <w:rFonts w:ascii="Times New Roman" w:hAnsi="Times New Roman" w:cs="Times New Roman"/>
          <w:sz w:val="24"/>
          <w:szCs w:val="24"/>
        </w:rPr>
        <w:t xml:space="preserve">Ostatak čine rashodi za zaposlene (nagrađivanje radnih rezultata) u iznosu od  5.000,00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311703">
        <w:rPr>
          <w:rFonts w:ascii="Times New Roman" w:hAnsi="Times New Roman" w:cs="Times New Roman"/>
          <w:sz w:val="24"/>
          <w:szCs w:val="24"/>
        </w:rPr>
        <w:t xml:space="preserve"> koji se financiraju iz vlastitih prihoda.</w:t>
      </w:r>
    </w:p>
    <w:p w14:paraId="641E51D3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32 - m</w:t>
      </w:r>
      <w:r w:rsidRPr="00D8055D">
        <w:rPr>
          <w:rFonts w:ascii="Times New Roman" w:hAnsi="Times New Roman" w:cs="Times New Roman"/>
          <w:sz w:val="24"/>
          <w:szCs w:val="24"/>
        </w:rPr>
        <w:t xml:space="preserve">aterijalni rashodi planirani su u iznosu od 203.935,00 </w:t>
      </w:r>
      <w:r>
        <w:rPr>
          <w:rFonts w:ascii="Times New Roman" w:hAnsi="Times New Roman" w:cs="Times New Roman"/>
          <w:sz w:val="24"/>
          <w:szCs w:val="24"/>
        </w:rPr>
        <w:t xml:space="preserve">eur </w:t>
      </w:r>
      <w:r w:rsidRPr="00D80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35F898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EE379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>U strukturi na podskupinama računa planirano je:</w:t>
      </w:r>
    </w:p>
    <w:p w14:paraId="1BB93D00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EAA4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lastRenderedPageBreak/>
        <w:t xml:space="preserve">321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0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obuhvaća n</w:t>
      </w:r>
      <w:r w:rsidRPr="00D8055D">
        <w:rPr>
          <w:rFonts w:ascii="Times New Roman" w:hAnsi="Times New Roman" w:cs="Times New Roman"/>
          <w:sz w:val="24"/>
          <w:szCs w:val="24"/>
        </w:rPr>
        <w:t>aknade troškova zaposlenima za prijevoz na posao i s posla, dnevnice za službeni put, seminar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8055D">
        <w:rPr>
          <w:rFonts w:ascii="Times New Roman" w:hAnsi="Times New Roman" w:cs="Times New Roman"/>
          <w:sz w:val="24"/>
          <w:szCs w:val="24"/>
        </w:rPr>
        <w:t xml:space="preserve">i stručna savjetovanja i ostali rashodi. </w:t>
      </w:r>
    </w:p>
    <w:p w14:paraId="5CE74D8C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6E800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322 -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8055D">
        <w:rPr>
          <w:rFonts w:ascii="Times New Roman" w:hAnsi="Times New Roman" w:cs="Times New Roman"/>
          <w:sz w:val="24"/>
          <w:szCs w:val="24"/>
        </w:rPr>
        <w:t xml:space="preserve">ashodi za materijal i energiju planirani su za uredski materijal i ostale materijalne rashode, energiju, materijal i dijelovi za tekuće i investicijsko održavanje i sitni inventar. </w:t>
      </w:r>
    </w:p>
    <w:p w14:paraId="284F104F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16509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323 – </w:t>
      </w:r>
      <w:r>
        <w:rPr>
          <w:rFonts w:ascii="Times New Roman" w:hAnsi="Times New Roman" w:cs="Times New Roman"/>
          <w:sz w:val="24"/>
          <w:szCs w:val="24"/>
        </w:rPr>
        <w:t>pl</w:t>
      </w:r>
      <w:r w:rsidRPr="00D8055D">
        <w:rPr>
          <w:rFonts w:ascii="Times New Roman" w:hAnsi="Times New Roman" w:cs="Times New Roman"/>
          <w:sz w:val="24"/>
          <w:szCs w:val="24"/>
        </w:rPr>
        <w:t xml:space="preserve">anirani rashodi za usluge odnose se na usluge telefona, pošte i prijevoza, usluge tekućeg i investicijskog održavanja, usluge promidžbe i informiranja, komunalne usluge, zakupnine i najamnine, zdravstvene i veterinarske usluge, intelektualne i osobne usluge, računalne usluge i ostale usluge. </w:t>
      </w:r>
    </w:p>
    <w:p w14:paraId="0DFE0F45" w14:textId="77777777" w:rsidR="00A63A80" w:rsidRPr="00D8055D" w:rsidRDefault="00A63A80" w:rsidP="00A63A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9C8D6D" w14:textId="77777777" w:rsidR="00A63A80" w:rsidRDefault="00A63A80" w:rsidP="00A63A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55D">
        <w:rPr>
          <w:rFonts w:ascii="Times New Roman" w:hAnsi="Times New Roman" w:cs="Times New Roman"/>
          <w:sz w:val="24"/>
          <w:szCs w:val="24"/>
        </w:rPr>
        <w:t xml:space="preserve">329 - </w:t>
      </w:r>
      <w:r>
        <w:rPr>
          <w:rFonts w:ascii="Times New Roman" w:hAnsi="Times New Roman" w:cs="Times New Roman"/>
          <w:sz w:val="24"/>
          <w:szCs w:val="24"/>
        </w:rPr>
        <w:t>planirane</w:t>
      </w:r>
      <w:r w:rsidRPr="00D8055D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8055D">
        <w:rPr>
          <w:rFonts w:ascii="Times New Roman" w:hAnsi="Times New Roman" w:cs="Times New Roman"/>
          <w:sz w:val="24"/>
          <w:szCs w:val="24"/>
        </w:rPr>
        <w:t xml:space="preserve"> čine premije osiguranja, reprezentacija, pristojbe i naknade, članarine i ostali nespomenuti rashodi.</w:t>
      </w:r>
    </w:p>
    <w:p w14:paraId="1EEA73C1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76ED5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405">
        <w:rPr>
          <w:rFonts w:ascii="Times New Roman" w:eastAsia="Calibri" w:hAnsi="Times New Roman" w:cs="Times New Roman"/>
          <w:sz w:val="24"/>
          <w:szCs w:val="24"/>
        </w:rPr>
        <w:t>Skupina 34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financijski rashodi planirani su u iznosu 450,00 eur za </w:t>
      </w:r>
      <w:r w:rsidRPr="00944405">
        <w:rPr>
          <w:rFonts w:ascii="Times New Roman" w:eastAsia="Calibri" w:hAnsi="Times New Roman" w:cs="Times New Roman"/>
          <w:sz w:val="24"/>
          <w:szCs w:val="24"/>
        </w:rPr>
        <w:t xml:space="preserve">usluge </w:t>
      </w:r>
      <w:r>
        <w:rPr>
          <w:rFonts w:ascii="Times New Roman" w:eastAsia="Calibri" w:hAnsi="Times New Roman" w:cs="Times New Roman"/>
          <w:sz w:val="24"/>
          <w:szCs w:val="24"/>
        </w:rPr>
        <w:t>banaka</w:t>
      </w:r>
      <w:r w:rsidRPr="00944405">
        <w:rPr>
          <w:rFonts w:ascii="Times New Roman" w:eastAsia="Calibri" w:hAnsi="Times New Roman" w:cs="Times New Roman"/>
          <w:sz w:val="24"/>
          <w:szCs w:val="24"/>
        </w:rPr>
        <w:t>, zatezne kamate i ostali financijski rashodi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13B24D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C1467" w14:textId="77777777" w:rsidR="00A63A80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Skupina 42 - r</w:t>
      </w:r>
      <w:r w:rsidRPr="00264DD2">
        <w:rPr>
          <w:rFonts w:ascii="Times New Roman" w:eastAsia="Calibri" w:hAnsi="Times New Roman" w:cs="Times New Roman"/>
          <w:sz w:val="24"/>
          <w:szCs w:val="24"/>
        </w:rPr>
        <w:t xml:space="preserve">ashodi za nabavu proizvedene dugotrajne imovine planirani su u iznosu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9.100,00 eur . Sredstva su planirana </w:t>
      </w:r>
      <w:r w:rsidRPr="00D45AFF">
        <w:rPr>
          <w:rFonts w:ascii="Times New Roman" w:eastAsia="Calibri" w:hAnsi="Times New Roman" w:cs="Times New Roman"/>
          <w:sz w:val="24"/>
          <w:szCs w:val="24"/>
        </w:rPr>
        <w:t>za uredsku opremu i namještaj, glazbenu oprem</w:t>
      </w: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Pr="00D45AFF">
        <w:rPr>
          <w:rFonts w:ascii="Times New Roman" w:eastAsia="Calibri" w:hAnsi="Times New Roman" w:cs="Times New Roman"/>
          <w:sz w:val="24"/>
          <w:szCs w:val="24"/>
        </w:rPr>
        <w:t>i uređaje, strojeve i opremu za ostale namjene.</w:t>
      </w:r>
    </w:p>
    <w:p w14:paraId="5C97AADA" w14:textId="77777777" w:rsidR="00A63A80" w:rsidRPr="00612B54" w:rsidRDefault="00A63A80" w:rsidP="00A63A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25B91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>Tablica 3. – Rashodi po vrsti iskazani u Financijskom planu za razdoblje 2024. – 2026.</w:t>
      </w:r>
    </w:p>
    <w:tbl>
      <w:tblPr>
        <w:tblStyle w:val="PlainTable4"/>
        <w:tblW w:w="9351" w:type="dxa"/>
        <w:tblLook w:val="04A0" w:firstRow="1" w:lastRow="0" w:firstColumn="1" w:lastColumn="0" w:noHBand="0" w:noVBand="1"/>
      </w:tblPr>
      <w:tblGrid>
        <w:gridCol w:w="436"/>
        <w:gridCol w:w="3812"/>
        <w:gridCol w:w="1541"/>
        <w:gridCol w:w="1622"/>
        <w:gridCol w:w="1940"/>
      </w:tblGrid>
      <w:tr w:rsidR="00A63A80" w:rsidRPr="00FB2A15" w14:paraId="3DB3F0B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</w:tcPr>
          <w:p w14:paraId="40FF9282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41" w:type="dxa"/>
          </w:tcPr>
          <w:p w14:paraId="27A44DFC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  <w:tc>
          <w:tcPr>
            <w:tcW w:w="1622" w:type="dxa"/>
          </w:tcPr>
          <w:p w14:paraId="65507E55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PROJEKCIJA 2025.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  <w:tc>
          <w:tcPr>
            <w:tcW w:w="1940" w:type="dxa"/>
            <w:hideMark/>
          </w:tcPr>
          <w:p w14:paraId="5C0B6F26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PROJEKCIJA 2026.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D8BBB95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B25F272" w14:textId="77777777" w:rsidR="00A63A80" w:rsidRPr="00FB2A15" w:rsidRDefault="00A63A80" w:rsidP="003603D1">
            <w:pPr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</w:p>
        </w:tc>
        <w:tc>
          <w:tcPr>
            <w:tcW w:w="3812" w:type="dxa"/>
          </w:tcPr>
          <w:p w14:paraId="39D2DD13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RASHODI POSLOVANJA</w:t>
            </w:r>
          </w:p>
        </w:tc>
        <w:tc>
          <w:tcPr>
            <w:tcW w:w="1541" w:type="dxa"/>
            <w:vAlign w:val="center"/>
          </w:tcPr>
          <w:p w14:paraId="6977FDB0" w14:textId="77777777" w:rsidR="00A63A80" w:rsidRPr="0049638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9953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.470,00</w:t>
            </w:r>
          </w:p>
        </w:tc>
        <w:tc>
          <w:tcPr>
            <w:tcW w:w="1622" w:type="dxa"/>
            <w:vAlign w:val="center"/>
          </w:tcPr>
          <w:p w14:paraId="3B4C3655" w14:textId="77777777" w:rsidR="00A63A80" w:rsidRPr="00995397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2.046.835,00</w:t>
            </w:r>
          </w:p>
        </w:tc>
        <w:tc>
          <w:tcPr>
            <w:tcW w:w="1940" w:type="dxa"/>
            <w:vAlign w:val="center"/>
          </w:tcPr>
          <w:p w14:paraId="75CD3C35" w14:textId="77777777" w:rsidR="00A63A80" w:rsidRPr="00995397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2.046.835,00</w:t>
            </w:r>
          </w:p>
        </w:tc>
      </w:tr>
      <w:tr w:rsidR="00A63A80" w:rsidRPr="00FB2A15" w14:paraId="0DF65AB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4A8268F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31</w:t>
            </w:r>
          </w:p>
        </w:tc>
        <w:tc>
          <w:tcPr>
            <w:tcW w:w="3812" w:type="dxa"/>
          </w:tcPr>
          <w:p w14:paraId="51DC1736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Rashodi za zaposlene</w:t>
            </w:r>
          </w:p>
        </w:tc>
        <w:tc>
          <w:tcPr>
            <w:tcW w:w="1541" w:type="dxa"/>
            <w:vAlign w:val="center"/>
          </w:tcPr>
          <w:p w14:paraId="0373559A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41CF">
              <w:rPr>
                <w:rFonts w:ascii="Times New Roman" w:hAnsi="Times New Roman" w:cs="Times New Roman"/>
                <w:sz w:val="24"/>
                <w:szCs w:val="24"/>
              </w:rPr>
              <w:t>.135,00</w:t>
            </w:r>
          </w:p>
        </w:tc>
        <w:tc>
          <w:tcPr>
            <w:tcW w:w="1622" w:type="dxa"/>
            <w:vAlign w:val="center"/>
          </w:tcPr>
          <w:p w14:paraId="7AA7A665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1.820.335,00</w:t>
            </w:r>
          </w:p>
        </w:tc>
        <w:tc>
          <w:tcPr>
            <w:tcW w:w="1940" w:type="dxa"/>
            <w:vAlign w:val="center"/>
          </w:tcPr>
          <w:p w14:paraId="0CA76C6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41C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1.820.335,00</w:t>
            </w:r>
          </w:p>
        </w:tc>
      </w:tr>
      <w:tr w:rsidR="00A63A80" w:rsidRPr="00FB2A15" w14:paraId="126B541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F02501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32</w:t>
            </w:r>
          </w:p>
        </w:tc>
        <w:tc>
          <w:tcPr>
            <w:tcW w:w="3812" w:type="dxa"/>
          </w:tcPr>
          <w:p w14:paraId="56C7F5CC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Materijalni rashodi</w:t>
            </w:r>
          </w:p>
        </w:tc>
        <w:tc>
          <w:tcPr>
            <w:tcW w:w="1541" w:type="dxa"/>
            <w:vAlign w:val="center"/>
          </w:tcPr>
          <w:p w14:paraId="502D72B8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203.935,00</w:t>
            </w:r>
          </w:p>
        </w:tc>
        <w:tc>
          <w:tcPr>
            <w:tcW w:w="1622" w:type="dxa"/>
            <w:vAlign w:val="center"/>
          </w:tcPr>
          <w:p w14:paraId="7A96CDFD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226.050,00</w:t>
            </w:r>
          </w:p>
        </w:tc>
        <w:tc>
          <w:tcPr>
            <w:tcW w:w="1940" w:type="dxa"/>
            <w:vAlign w:val="center"/>
          </w:tcPr>
          <w:p w14:paraId="0669584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953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226.050,00</w:t>
            </w:r>
          </w:p>
        </w:tc>
      </w:tr>
      <w:tr w:rsidR="00A63A80" w:rsidRPr="00FB2A15" w14:paraId="0BF3D06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A868D3D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34</w:t>
            </w:r>
          </w:p>
        </w:tc>
        <w:tc>
          <w:tcPr>
            <w:tcW w:w="3812" w:type="dxa"/>
          </w:tcPr>
          <w:p w14:paraId="56E5398C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Financijski rashodi</w:t>
            </w:r>
          </w:p>
        </w:tc>
        <w:tc>
          <w:tcPr>
            <w:tcW w:w="1541" w:type="dxa"/>
            <w:vAlign w:val="center"/>
          </w:tcPr>
          <w:p w14:paraId="32DD884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400,00</w:t>
            </w:r>
          </w:p>
        </w:tc>
        <w:tc>
          <w:tcPr>
            <w:tcW w:w="1622" w:type="dxa"/>
            <w:vAlign w:val="center"/>
          </w:tcPr>
          <w:p w14:paraId="77C1CC27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450,00</w:t>
            </w:r>
          </w:p>
        </w:tc>
        <w:tc>
          <w:tcPr>
            <w:tcW w:w="1940" w:type="dxa"/>
            <w:vAlign w:val="center"/>
          </w:tcPr>
          <w:p w14:paraId="60C1F57E" w14:textId="77777777" w:rsidR="00A63A80" w:rsidRPr="005A3AD6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450,00</w:t>
            </w:r>
          </w:p>
        </w:tc>
      </w:tr>
      <w:tr w:rsidR="00A63A80" w:rsidRPr="00FB2A15" w14:paraId="66D72C5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238E8291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36</w:t>
            </w:r>
          </w:p>
        </w:tc>
        <w:tc>
          <w:tcPr>
            <w:tcW w:w="3812" w:type="dxa"/>
          </w:tcPr>
          <w:p w14:paraId="2D33C048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Pomoći dane u inozemstvo i unutar proračuna</w:t>
            </w:r>
          </w:p>
        </w:tc>
        <w:tc>
          <w:tcPr>
            <w:tcW w:w="1541" w:type="dxa"/>
            <w:vAlign w:val="center"/>
          </w:tcPr>
          <w:p w14:paraId="35644833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63328F49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25AFDDA8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762E3BCF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7CD6CF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37</w:t>
            </w:r>
          </w:p>
        </w:tc>
        <w:tc>
          <w:tcPr>
            <w:tcW w:w="3812" w:type="dxa"/>
          </w:tcPr>
          <w:p w14:paraId="4EDAD5CA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41" w:type="dxa"/>
            <w:vAlign w:val="center"/>
          </w:tcPr>
          <w:p w14:paraId="3C4882D8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44D077DA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0C92C8CE" w14:textId="77777777" w:rsidR="00A63A80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58B53FA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66B95E2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38</w:t>
            </w:r>
          </w:p>
        </w:tc>
        <w:tc>
          <w:tcPr>
            <w:tcW w:w="3812" w:type="dxa"/>
          </w:tcPr>
          <w:p w14:paraId="705DABA6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Ostali rashodi</w:t>
            </w:r>
          </w:p>
        </w:tc>
        <w:tc>
          <w:tcPr>
            <w:tcW w:w="1541" w:type="dxa"/>
            <w:vAlign w:val="center"/>
          </w:tcPr>
          <w:p w14:paraId="548EE2F5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08A5C153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59F64B57" w14:textId="77777777" w:rsidR="00A63A80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4056C19E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C584EA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  <w:tc>
          <w:tcPr>
            <w:tcW w:w="3812" w:type="dxa"/>
          </w:tcPr>
          <w:p w14:paraId="22CE13BE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RASHODI ZA NABAVU NEFINANCIJSKE IMOVINE</w:t>
            </w:r>
          </w:p>
        </w:tc>
        <w:tc>
          <w:tcPr>
            <w:tcW w:w="1541" w:type="dxa"/>
            <w:vAlign w:val="center"/>
          </w:tcPr>
          <w:p w14:paraId="56D826E8" w14:textId="77777777" w:rsidR="00A63A80" w:rsidRPr="0049638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9.100,00</w:t>
            </w:r>
          </w:p>
        </w:tc>
        <w:tc>
          <w:tcPr>
            <w:tcW w:w="1622" w:type="dxa"/>
            <w:vAlign w:val="center"/>
          </w:tcPr>
          <w:p w14:paraId="3D5965AD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9.500,00</w:t>
            </w:r>
          </w:p>
        </w:tc>
        <w:tc>
          <w:tcPr>
            <w:tcW w:w="1940" w:type="dxa"/>
            <w:vAlign w:val="center"/>
          </w:tcPr>
          <w:p w14:paraId="299E7E0F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9.500,00</w:t>
            </w:r>
          </w:p>
        </w:tc>
      </w:tr>
      <w:tr w:rsidR="00A63A80" w:rsidRPr="00FB2A15" w14:paraId="1F13B94F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B4E9EC4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42</w:t>
            </w:r>
          </w:p>
        </w:tc>
        <w:tc>
          <w:tcPr>
            <w:tcW w:w="3812" w:type="dxa"/>
          </w:tcPr>
          <w:p w14:paraId="722DB345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>Rashodi za nabavu proizvedene dugotrajne imovine</w:t>
            </w:r>
          </w:p>
        </w:tc>
        <w:tc>
          <w:tcPr>
            <w:tcW w:w="1541" w:type="dxa"/>
            <w:vAlign w:val="center"/>
          </w:tcPr>
          <w:p w14:paraId="5E4357C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9.100,00</w:t>
            </w:r>
          </w:p>
        </w:tc>
        <w:tc>
          <w:tcPr>
            <w:tcW w:w="1622" w:type="dxa"/>
            <w:vAlign w:val="center"/>
          </w:tcPr>
          <w:p w14:paraId="588A39FD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9.500,00</w:t>
            </w:r>
          </w:p>
        </w:tc>
        <w:tc>
          <w:tcPr>
            <w:tcW w:w="1940" w:type="dxa"/>
            <w:vAlign w:val="center"/>
          </w:tcPr>
          <w:p w14:paraId="49DF8590" w14:textId="77777777" w:rsidR="00A63A80" w:rsidRPr="005A3AD6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9.500,00</w:t>
            </w:r>
          </w:p>
        </w:tc>
      </w:tr>
      <w:tr w:rsidR="00A63A80" w:rsidRPr="00FB2A15" w14:paraId="2300D702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52B8D6ED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</w:p>
        </w:tc>
        <w:tc>
          <w:tcPr>
            <w:tcW w:w="3812" w:type="dxa"/>
          </w:tcPr>
          <w:p w14:paraId="181A2A07" w14:textId="77777777" w:rsidR="00A63A80" w:rsidRPr="00FB2A15" w:rsidRDefault="00A63A80" w:rsidP="003603D1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Dodatna ulaganja na građevinskim objektima</w:t>
            </w:r>
          </w:p>
        </w:tc>
        <w:tc>
          <w:tcPr>
            <w:tcW w:w="1541" w:type="dxa"/>
            <w:vAlign w:val="center"/>
          </w:tcPr>
          <w:p w14:paraId="3ECAFF8C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22" w:type="dxa"/>
            <w:vAlign w:val="center"/>
          </w:tcPr>
          <w:p w14:paraId="0CBA6FC2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940" w:type="dxa"/>
            <w:vAlign w:val="center"/>
          </w:tcPr>
          <w:p w14:paraId="675E2D68" w14:textId="77777777" w:rsidR="00A63A80" w:rsidRPr="00D37F0A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63A80" w:rsidRPr="00FB2A15" w14:paraId="7B5F3DA1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7245349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12" w:type="dxa"/>
            <w:hideMark/>
          </w:tcPr>
          <w:p w14:paraId="63FFDFB8" w14:textId="77777777" w:rsidR="00A63A80" w:rsidRPr="00FB2A15" w:rsidRDefault="00A63A80" w:rsidP="003603D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/>
                <w:lang w:eastAsia="hr-HR"/>
              </w:rPr>
              <w:t>UKUPNI RASHODI</w:t>
            </w:r>
          </w:p>
        </w:tc>
        <w:tc>
          <w:tcPr>
            <w:tcW w:w="1541" w:type="dxa"/>
            <w:vAlign w:val="center"/>
          </w:tcPr>
          <w:p w14:paraId="6A3685B6" w14:textId="77777777" w:rsidR="00A63A80" w:rsidRPr="0049638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2.033.570,00</w:t>
            </w:r>
          </w:p>
        </w:tc>
        <w:tc>
          <w:tcPr>
            <w:tcW w:w="1622" w:type="dxa"/>
            <w:vAlign w:val="center"/>
          </w:tcPr>
          <w:p w14:paraId="48B47839" w14:textId="77777777" w:rsidR="00A63A80" w:rsidRPr="00D37F0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2.056.335,00</w:t>
            </w:r>
          </w:p>
        </w:tc>
        <w:tc>
          <w:tcPr>
            <w:tcW w:w="1940" w:type="dxa"/>
            <w:vAlign w:val="center"/>
          </w:tcPr>
          <w:p w14:paraId="4E750C21" w14:textId="77777777" w:rsidR="00A63A80" w:rsidRPr="00D37F0A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3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2.056.335,00</w:t>
            </w:r>
          </w:p>
        </w:tc>
      </w:tr>
    </w:tbl>
    <w:p w14:paraId="0FCC3C0F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8B496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  <w:r w:rsidRPr="003575C0">
        <w:rPr>
          <w:rFonts w:ascii="Times New Roman" w:hAnsi="Times New Roman" w:cs="Times New Roman"/>
          <w:sz w:val="24"/>
          <w:szCs w:val="24"/>
        </w:rPr>
        <w:t xml:space="preserve">Rashodi za 2025. i 2026. godinu planirani su u </w:t>
      </w:r>
      <w:r>
        <w:rPr>
          <w:rFonts w:ascii="Times New Roman" w:hAnsi="Times New Roman" w:cs="Times New Roman"/>
          <w:sz w:val="24"/>
          <w:szCs w:val="24"/>
        </w:rPr>
        <w:t>većem iznosu u odnosu na</w:t>
      </w:r>
      <w:r w:rsidRPr="003575C0">
        <w:rPr>
          <w:rFonts w:ascii="Times New Roman" w:hAnsi="Times New Roman" w:cs="Times New Roman"/>
          <w:sz w:val="24"/>
          <w:szCs w:val="24"/>
        </w:rPr>
        <w:t xml:space="preserve"> 2024. godin</w:t>
      </w:r>
      <w:r>
        <w:rPr>
          <w:rFonts w:ascii="Times New Roman" w:hAnsi="Times New Roman" w:cs="Times New Roman"/>
          <w:sz w:val="24"/>
          <w:szCs w:val="24"/>
        </w:rPr>
        <w:t>u,</w:t>
      </w:r>
      <w:r w:rsidRPr="00357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očekuje se povećanje troškova materijalnih rashoda od kojih ih se znatan broj već povećao u 2023. godini što je rezultiralo potrebom za korištenjem viška, također, očekuje se povećanje cijene troškova za nabavu proizvedene dugotrajne imovine.</w:t>
      </w:r>
    </w:p>
    <w:p w14:paraId="19A4AD9E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5590B" w14:textId="77777777" w:rsidR="00A63A80" w:rsidRDefault="00A63A80" w:rsidP="00A63A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63A80" w:rsidRPr="00FB2A15" w14:paraId="18D57044" w14:textId="77777777" w:rsidTr="003603D1">
        <w:tc>
          <w:tcPr>
            <w:tcW w:w="8925" w:type="dxa"/>
            <w:shd w:val="clear" w:color="auto" w:fill="E7E6E6" w:themeFill="background2"/>
          </w:tcPr>
          <w:p w14:paraId="2B55E240" w14:textId="77777777" w:rsidR="00A63A80" w:rsidRPr="00FB2A15" w:rsidRDefault="00A63A80" w:rsidP="003603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2A15">
              <w:rPr>
                <w:rFonts w:ascii="Times New Roman" w:hAnsi="Times New Roman" w:cs="Times New Roman"/>
                <w:b/>
                <w:sz w:val="28"/>
              </w:rPr>
              <w:lastRenderedPageBreak/>
              <w:t>3. OBRAZLOŽENJE PROGRAMSKOG DIJELA FINANCIJSKOG PLANA ZA 2024. GODINU</w:t>
            </w:r>
          </w:p>
        </w:tc>
      </w:tr>
    </w:tbl>
    <w:p w14:paraId="4F40B153" w14:textId="77777777" w:rsidR="00A63A80" w:rsidRDefault="00A63A80" w:rsidP="00A63A80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14:paraId="7FDFA812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C5E88">
        <w:rPr>
          <w:rFonts w:ascii="Times New Roman" w:hAnsi="Times New Roman" w:cs="Times New Roman"/>
          <w:b/>
          <w:sz w:val="24"/>
        </w:rPr>
        <w:t>7009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Pr="00EC5E88">
        <w:rPr>
          <w:rFonts w:ascii="Times New Roman" w:hAnsi="Times New Roman" w:cs="Times New Roman"/>
          <w:b/>
          <w:sz w:val="24"/>
        </w:rPr>
        <w:t xml:space="preserve"> Javne potrebe u školstvu </w:t>
      </w:r>
    </w:p>
    <w:p w14:paraId="423FC276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>
        <w:rPr>
          <w:rFonts w:ascii="Times New Roman" w:hAnsi="Times New Roman"/>
          <w:sz w:val="24"/>
        </w:rPr>
        <w:t>umjetnička Škola Franje Lučić</w:t>
      </w:r>
      <w:r w:rsidRPr="002A53DE">
        <w:rPr>
          <w:rFonts w:ascii="Times New Roman" w:hAnsi="Times New Roman"/>
          <w:sz w:val="24"/>
        </w:rPr>
        <w:t>a pruža osnovn</w:t>
      </w:r>
      <w:r>
        <w:rPr>
          <w:rFonts w:ascii="Times New Roman" w:hAnsi="Times New Roman"/>
          <w:sz w:val="24"/>
        </w:rPr>
        <w:t xml:space="preserve">oškolsko i srednjoškolsko </w:t>
      </w:r>
      <w:r w:rsidRPr="002A53DE">
        <w:rPr>
          <w:rFonts w:ascii="Times New Roman" w:hAnsi="Times New Roman"/>
          <w:sz w:val="24"/>
        </w:rPr>
        <w:t>obrazovanje</w:t>
      </w:r>
      <w:r>
        <w:rPr>
          <w:rFonts w:ascii="Times New Roman" w:hAnsi="Times New Roman"/>
          <w:sz w:val="24"/>
        </w:rPr>
        <w:t xml:space="preserve"> </w:t>
      </w:r>
      <w:r w:rsidRPr="002A53DE">
        <w:rPr>
          <w:rFonts w:ascii="Times New Roman" w:hAnsi="Times New Roman"/>
          <w:sz w:val="24"/>
        </w:rPr>
        <w:t>učenicima</w:t>
      </w:r>
      <w:r>
        <w:rPr>
          <w:rFonts w:ascii="Times New Roman" w:hAnsi="Times New Roman"/>
          <w:sz w:val="24"/>
        </w:rPr>
        <w:t xml:space="preserve"> u području glazbe i plesa. Da bi škola uspješno funkcionirala potrebno je osiguravanje materijalnih uvjeta za provedbu redovnih djelatnosti.</w:t>
      </w:r>
    </w:p>
    <w:p w14:paraId="2313EF87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programi:</w:t>
      </w:r>
    </w:p>
    <w:p w14:paraId="4ED8CC88" w14:textId="77777777" w:rsidR="00A63A80" w:rsidRPr="00EC5E88" w:rsidRDefault="00A63A80" w:rsidP="00A63A80">
      <w:pPr>
        <w:pStyle w:val="ListParagraph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odgoju i obrazovanju u osnovnoj i srednjoj školi (pročišćeni tekst zakona NN 87/08, 86/09, 92/10, 105/10, 90/11, 5/12, 16/12, 86/12, 126/12, 94/13, 152/14, 07/17, 68/18, 98/19, 64/20, 151/22)</w:t>
      </w:r>
    </w:p>
    <w:p w14:paraId="6E2B69FA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E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Državni pedagoški standard predškolskog odgoja i naobrazbe (NN 63/08, 90/10)</w:t>
      </w:r>
    </w:p>
    <w:p w14:paraId="128D7D3B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Zakon o proračunu (NN 87/08, 136/12, 15/15 i 144/21),</w:t>
      </w:r>
    </w:p>
    <w:p w14:paraId="5909F901" w14:textId="77777777" w:rsidR="00A63A80" w:rsidRPr="00EC5E88" w:rsidRDefault="00A63A80" w:rsidP="00A63A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proračunskim klasifikacijama (NN 26/10, 120/13, 1/20)</w:t>
      </w:r>
    </w:p>
    <w:p w14:paraId="6EA27A85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Pravilnik o proračunskom računovodstvu i računskom planu (NN 114/10, 31/11, 124/14, 115/15, 87/16, 3/18, 126/19, 108/20)</w:t>
      </w:r>
    </w:p>
    <w:p w14:paraId="6A433461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Godišnji plan i program rada škole za školsku godinu 2023./2024.</w:t>
      </w:r>
    </w:p>
    <w:p w14:paraId="2F3D5504" w14:textId="77777777" w:rsidR="00A63A80" w:rsidRPr="00EC5E88" w:rsidRDefault="00A63A80" w:rsidP="00A63A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C5E88">
        <w:rPr>
          <w:rFonts w:ascii="Times New Roman" w:hAnsi="Times New Roman" w:cs="Times New Roman"/>
          <w:sz w:val="24"/>
        </w:rPr>
        <w:t>Kurikulum škole za školsku godinu 2023./2024.</w:t>
      </w:r>
    </w:p>
    <w:p w14:paraId="5EF343E2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Cilj provedbe programa: </w:t>
      </w:r>
    </w:p>
    <w:p w14:paraId="35800F3E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1722A7">
        <w:rPr>
          <w:rFonts w:ascii="Times New Roman" w:hAnsi="Times New Roman"/>
          <w:sz w:val="24"/>
        </w:rPr>
        <w:t>državanje i unapređenje postojećeg standarda djelatnosti školskog odgoja</w:t>
      </w:r>
    </w:p>
    <w:p w14:paraId="0CD584B5" w14:textId="77777777" w:rsidR="00A63A80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055336">
        <w:rPr>
          <w:rFonts w:ascii="Times New Roman" w:hAnsi="Times New Roman"/>
          <w:sz w:val="24"/>
        </w:rPr>
        <w:t xml:space="preserve">tjecanje </w:t>
      </w:r>
      <w:r>
        <w:rPr>
          <w:rFonts w:ascii="Times New Roman" w:hAnsi="Times New Roman"/>
          <w:sz w:val="24"/>
        </w:rPr>
        <w:t xml:space="preserve">novih </w:t>
      </w:r>
      <w:r w:rsidRPr="00055336">
        <w:rPr>
          <w:rFonts w:ascii="Times New Roman" w:hAnsi="Times New Roman"/>
          <w:sz w:val="24"/>
        </w:rPr>
        <w:t xml:space="preserve">znanja, vještina i navika </w:t>
      </w:r>
      <w:r>
        <w:rPr>
          <w:rFonts w:ascii="Times New Roman" w:hAnsi="Times New Roman"/>
          <w:sz w:val="24"/>
        </w:rPr>
        <w:t xml:space="preserve">kroz individualizirani program obrazovanja učenika </w:t>
      </w:r>
      <w:r w:rsidRPr="00055336">
        <w:rPr>
          <w:rFonts w:ascii="Times New Roman" w:hAnsi="Times New Roman"/>
          <w:sz w:val="24"/>
        </w:rPr>
        <w:t xml:space="preserve">u skladu s osobnim potencijalima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, uključivanje </w:t>
      </w:r>
      <w:r>
        <w:rPr>
          <w:rFonts w:ascii="Times New Roman" w:hAnsi="Times New Roman"/>
          <w:sz w:val="24"/>
        </w:rPr>
        <w:t>učenika</w:t>
      </w:r>
      <w:r w:rsidRPr="00055336">
        <w:rPr>
          <w:rFonts w:ascii="Times New Roman" w:hAnsi="Times New Roman"/>
          <w:sz w:val="24"/>
        </w:rPr>
        <w:t xml:space="preserve"> u aktivni društveni život</w:t>
      </w:r>
      <w:r>
        <w:rPr>
          <w:rFonts w:ascii="Times New Roman" w:hAnsi="Times New Roman"/>
          <w:sz w:val="24"/>
        </w:rPr>
        <w:t xml:space="preserve"> kroz sudjelovanja na priredbama i predstavama organiziranih od strane škole i drugih</w:t>
      </w:r>
      <w:r w:rsidRPr="0005533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sudjelovanje učenika na županijskim i državnim natjecanjima i stalno usavršavanje učenika u skladu sa individualiziranim potrebama i preferencijama</w:t>
      </w:r>
    </w:p>
    <w:p w14:paraId="7650DCA8" w14:textId="77777777" w:rsidR="00A63A80" w:rsidRPr="001722A7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stalno usavršavanje nastavnog kadra kroz stručna usavršavanja, seminare i simpozije</w:t>
      </w:r>
    </w:p>
    <w:p w14:paraId="172E0F1F" w14:textId="77777777" w:rsidR="00A63A80" w:rsidRPr="00F66326" w:rsidRDefault="00A63A80" w:rsidP="00A63A8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ostvarivanje prostorne i infrastrukturne funkcionalnosti</w:t>
      </w:r>
    </w:p>
    <w:p w14:paraId="5D06D5ED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Pokazatelji uspješnosti: uspješno obrazovanje učenika, iznimna uspješnost učenika škole na županijskim i državnim natjecanjima, stvaranje uvjeta za kvalitetno učenje, osobni i profesionalni razvoj profesora i stručnih suradnika, unapređenje suradnje s roditeljima, poboljšanje uvjeta u objektu, ulaganje u glazbenu opremu i uređaje, računala, namještaj, povezivanje škole s lokalnim sportskim i kulturnim društvima.</w:t>
      </w:r>
    </w:p>
    <w:p w14:paraId="6A49D1BE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>Naziv aktivnosti: A700002 - Djelatnost škola – iznad zakonskog standarda</w:t>
      </w:r>
    </w:p>
    <w:p w14:paraId="2D004E66" w14:textId="77777777" w:rsidR="00A63A80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Opis aktivnosti: planirana sredstva u ovoj aktivnosti uključuju </w:t>
      </w:r>
      <w:r w:rsidRPr="005A3AD6">
        <w:rPr>
          <w:rFonts w:ascii="Times New Roman" w:eastAsia="Calibri" w:hAnsi="Times New Roman" w:cs="Times New Roman"/>
          <w:sz w:val="24"/>
          <w:szCs w:val="24"/>
        </w:rPr>
        <w:t>nabav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 uredskog materijala,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materijal i dijelovi za tekuće i investicijsko održavanje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>službena putovanja, stručno usavršavanje zaposlenika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A3AD6">
        <w:rPr>
          <w:rFonts w:ascii="Times New Roman" w:eastAsia="Calibri" w:hAnsi="Times New Roman" w:cs="Times New Roman"/>
          <w:sz w:val="24"/>
          <w:szCs w:val="24"/>
        </w:rPr>
        <w:t xml:space="preserve">sitan inventar, usluge telefona, pošte i prijevoza, </w:t>
      </w:r>
      <w:r w:rsidRPr="005D76F7">
        <w:rPr>
          <w:rFonts w:ascii="Times New Roman" w:eastAsia="Calibri" w:hAnsi="Times New Roman" w:cs="Times New Roman"/>
          <w:sz w:val="24"/>
          <w:szCs w:val="24"/>
        </w:rPr>
        <w:t>usluge tekućeg i investicijskog održavanja, usluge promidžbe i informiranja, komunalne usluge, zakupnine i najamnine, zdravstvene i veterinarske usluge, intelektualne i osobne usluge, računalne usluge i ostale usluge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D76F7">
        <w:rPr>
          <w:rFonts w:ascii="Times New Roman" w:eastAsia="Calibri" w:hAnsi="Times New Roman" w:cs="Times New Roman"/>
          <w:sz w:val="24"/>
          <w:szCs w:val="24"/>
        </w:rPr>
        <w:t>premije osiguranja, reprezentacija, pristojbe i naknade, članarine i ostali nespomenuti rashodi.</w:t>
      </w:r>
      <w:bookmarkStart w:id="0" w:name="_Hlk150801128"/>
    </w:p>
    <w:p w14:paraId="7FCC79DD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lastRenderedPageBreak/>
        <w:t>Tablica 4.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1F407295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626C192E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680EEA53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AAC7FF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6787E59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4.2. Prihodi za posebne namjene - PK</w:t>
            </w:r>
          </w:p>
        </w:tc>
        <w:tc>
          <w:tcPr>
            <w:tcW w:w="2410" w:type="dxa"/>
          </w:tcPr>
          <w:p w14:paraId="5793C2FE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120.000,00</w:t>
            </w:r>
          </w:p>
        </w:tc>
      </w:tr>
      <w:tr w:rsidR="00A63A80" w:rsidRPr="00FB2A15" w14:paraId="748D6398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6B6CE1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4.3.20. Višak prihoda za posebne namjene</w:t>
            </w:r>
          </w:p>
        </w:tc>
        <w:tc>
          <w:tcPr>
            <w:tcW w:w="2410" w:type="dxa"/>
          </w:tcPr>
          <w:p w14:paraId="4E0D6FF8" w14:textId="77777777" w:rsidR="00A63A80" w:rsidRPr="00FB2A15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A63A80" w:rsidRPr="00FB2A15" w14:paraId="113B787C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F32AAA3" w14:textId="77777777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5.2. Pomoći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05C92921" w14:textId="77777777" w:rsidR="00A63A80" w:rsidRPr="009C7579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60.285,00</w:t>
            </w:r>
          </w:p>
        </w:tc>
      </w:tr>
      <w:tr w:rsidR="00A63A80" w:rsidRPr="00FB2A15" w14:paraId="4D0DB743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89E7F1" w14:textId="77777777" w:rsidR="00A63A80" w:rsidRPr="009C7579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9C7579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Izvor 6.2. Donacije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 - PK</w:t>
            </w:r>
          </w:p>
        </w:tc>
        <w:tc>
          <w:tcPr>
            <w:tcW w:w="2410" w:type="dxa"/>
          </w:tcPr>
          <w:p w14:paraId="1293D98D" w14:textId="77777777" w:rsidR="00A63A80" w:rsidRPr="009C7579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1.000</w:t>
            </w:r>
            <w:r w:rsidRPr="009C757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,00</w:t>
            </w:r>
          </w:p>
        </w:tc>
      </w:tr>
      <w:tr w:rsidR="00A63A80" w:rsidRPr="00FB2A15" w14:paraId="1B8318C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23C524B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7F2DCFA0" w14:textId="77777777" w:rsidR="00A63A80" w:rsidRPr="0060373B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183.285,00</w:t>
            </w:r>
          </w:p>
        </w:tc>
      </w:tr>
      <w:bookmarkEnd w:id="0"/>
    </w:tbl>
    <w:p w14:paraId="0F5B24B3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369BB1A8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i/>
          <w:sz w:val="24"/>
        </w:rPr>
      </w:pPr>
      <w:r w:rsidRPr="00EC5E88">
        <w:rPr>
          <w:rFonts w:ascii="Times New Roman" w:hAnsi="Times New Roman" w:cs="Times New Roman"/>
          <w:i/>
          <w:sz w:val="24"/>
        </w:rPr>
        <w:t xml:space="preserve">Naziv aktivnosti: A700003 – Djelatnost škola – do zakonskog standarda </w:t>
      </w:r>
    </w:p>
    <w:p w14:paraId="0DFB5094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aktivnosti: planirana sredstva u ovoj aktivnosti određena su za podmirenje troškova energije i komunalnih usluga, i nabavu proizvedene dugotrajne imovine.</w:t>
      </w:r>
    </w:p>
    <w:p w14:paraId="7D4EE95F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>
        <w:rPr>
          <w:rFonts w:ascii="Times New Roman" w:hAnsi="Times New Roman" w:cs="Times New Roman"/>
          <w:i/>
          <w:sz w:val="24"/>
        </w:rPr>
        <w:t>5.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59005C64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75BD6C6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794B4E1B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54DEFE9A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DE54875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1.1. Opći prihodi i primici proračuna</w:t>
            </w:r>
          </w:p>
        </w:tc>
        <w:tc>
          <w:tcPr>
            <w:tcW w:w="2410" w:type="dxa"/>
          </w:tcPr>
          <w:p w14:paraId="6019B26E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21.500,00</w:t>
            </w:r>
          </w:p>
        </w:tc>
      </w:tr>
      <w:tr w:rsidR="00A63A80" w:rsidRPr="0060373B" w14:paraId="73925F5B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9DA2F3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12521F95" w14:textId="77777777" w:rsidR="00A63A80" w:rsidRPr="0060373B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037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21.500,00</w:t>
            </w:r>
          </w:p>
        </w:tc>
      </w:tr>
    </w:tbl>
    <w:p w14:paraId="51612A28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</w:p>
    <w:p w14:paraId="179B235D" w14:textId="77777777" w:rsidR="00A63A80" w:rsidRPr="00EC5E88" w:rsidRDefault="00A63A80" w:rsidP="00A63A80">
      <w:pPr>
        <w:tabs>
          <w:tab w:val="left" w:pos="1275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5E88">
        <w:rPr>
          <w:rFonts w:ascii="Times New Roman" w:hAnsi="Times New Roman" w:cs="Times New Roman"/>
          <w:b/>
          <w:sz w:val="24"/>
        </w:rPr>
        <w:t xml:space="preserve">Naziv programa: 7010 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Pr="00EC5E88">
        <w:rPr>
          <w:rFonts w:ascii="Times New Roman" w:hAnsi="Times New Roman" w:cs="Times New Roman"/>
          <w:b/>
          <w:sz w:val="24"/>
        </w:rPr>
        <w:t>Šire javne potrebe u školstvu</w:t>
      </w:r>
    </w:p>
    <w:p w14:paraId="35A870A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Opis programa: </w:t>
      </w:r>
      <w:r w:rsidRPr="00490F68">
        <w:rPr>
          <w:rFonts w:ascii="Times New Roman" w:hAnsi="Times New Roman" w:cs="Times New Roman"/>
          <w:sz w:val="24"/>
        </w:rPr>
        <w:t>Umjetnička Škola Franje Lučića pruža osnovnoškolsko i srednjoškolsko obrazovanje učenicima u području glazbe i plesa. Da bi škola uspješno funkcionirala potrebno je osiguravanje materijalnih uvjeta za provedbu redovnih djelatnosti.</w:t>
      </w:r>
    </w:p>
    <w:p w14:paraId="19F70759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Zakonske i druge podloge na kojima se zasnivaju program:</w:t>
      </w:r>
    </w:p>
    <w:p w14:paraId="34E18FCA" w14:textId="77777777" w:rsidR="00A63A80" w:rsidRDefault="00A63A80" w:rsidP="00A63A80">
      <w:pPr>
        <w:pStyle w:val="ListParagraph"/>
        <w:numPr>
          <w:ilvl w:val="0"/>
          <w:numId w:val="3"/>
        </w:numPr>
        <w:tabs>
          <w:tab w:val="left" w:pos="1275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90D6E">
        <w:rPr>
          <w:rFonts w:ascii="Times New Roman" w:hAnsi="Times New Roman" w:cs="Times New Roman"/>
          <w:sz w:val="24"/>
        </w:rPr>
        <w:t>Zakon o odgoju i obrazovanju u osnovnoj i srednjoj školi</w:t>
      </w:r>
      <w:r>
        <w:rPr>
          <w:rFonts w:ascii="Times New Roman" w:hAnsi="Times New Roman" w:cs="Times New Roman"/>
          <w:sz w:val="24"/>
        </w:rPr>
        <w:t xml:space="preserve"> (</w:t>
      </w:r>
      <w:r w:rsidRPr="00490D6E">
        <w:rPr>
          <w:rFonts w:ascii="Times New Roman" w:hAnsi="Times New Roman" w:cs="Times New Roman"/>
          <w:sz w:val="24"/>
        </w:rPr>
        <w:t>pročišćeni tekst zakona NN 87/08, 86/09, 92/10, 105/10, 90/11, 5/12, 16/12, 86/12, 126/12, 94/13, 152/14, 07/17, 68/18, 98/19, 64/20, 151/22</w:t>
      </w:r>
      <w:r>
        <w:rPr>
          <w:rFonts w:ascii="Times New Roman" w:hAnsi="Times New Roman" w:cs="Times New Roman"/>
          <w:sz w:val="24"/>
        </w:rPr>
        <w:t>)</w:t>
      </w:r>
    </w:p>
    <w:p w14:paraId="4C560389" w14:textId="77777777" w:rsidR="00A63A80" w:rsidRPr="003C1295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2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Državni pedagoški standard predškolskog odgoja i naobrazbe (NN 63/08,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C129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90/10)</w:t>
      </w:r>
    </w:p>
    <w:p w14:paraId="1AD27FBB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Zakon o proračunu (</w:t>
      </w:r>
      <w:r>
        <w:rPr>
          <w:rFonts w:ascii="Times New Roman" w:hAnsi="Times New Roman" w:cs="Times New Roman"/>
          <w:sz w:val="24"/>
        </w:rPr>
        <w:t>NN</w:t>
      </w:r>
      <w:r w:rsidRPr="00287D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87/</w:t>
      </w:r>
      <w:r w:rsidRPr="00287D29">
        <w:rPr>
          <w:rFonts w:ascii="Times New Roman" w:hAnsi="Times New Roman" w:cs="Times New Roman"/>
          <w:sz w:val="24"/>
        </w:rPr>
        <w:t>08,</w:t>
      </w:r>
      <w:r>
        <w:rPr>
          <w:rFonts w:ascii="Times New Roman" w:hAnsi="Times New Roman" w:cs="Times New Roman"/>
          <w:sz w:val="24"/>
        </w:rPr>
        <w:t xml:space="preserve"> </w:t>
      </w:r>
      <w:r w:rsidRPr="00287D29">
        <w:rPr>
          <w:rFonts w:ascii="Times New Roman" w:hAnsi="Times New Roman" w:cs="Times New Roman"/>
          <w:sz w:val="24"/>
        </w:rPr>
        <w:t>136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12, 15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15 i 144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21),</w:t>
      </w:r>
    </w:p>
    <w:p w14:paraId="187ADE0F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proračunskim klasifikacijama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, </w:t>
      </w:r>
      <w:r w:rsidRPr="00287D29">
        <w:rPr>
          <w:rFonts w:ascii="Times New Roman" w:hAnsi="Times New Roman" w:cs="Times New Roman"/>
          <w:sz w:val="24"/>
        </w:rPr>
        <w:t>120</w:t>
      </w:r>
      <w:r>
        <w:rPr>
          <w:rFonts w:ascii="Times New Roman" w:hAnsi="Times New Roman" w:cs="Times New Roman"/>
          <w:sz w:val="24"/>
        </w:rPr>
        <w:t>/1</w:t>
      </w:r>
      <w:r w:rsidRPr="00287D2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</w:t>
      </w:r>
      <w:r w:rsidRPr="00287D29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/</w:t>
      </w:r>
      <w:r w:rsidRPr="00287D29">
        <w:rPr>
          <w:rFonts w:ascii="Times New Roman" w:hAnsi="Times New Roman" w:cs="Times New Roman"/>
          <w:sz w:val="24"/>
        </w:rPr>
        <w:t>20)</w:t>
      </w:r>
    </w:p>
    <w:p w14:paraId="3CA5B6F9" w14:textId="77777777" w:rsidR="00A63A80" w:rsidRPr="00287D29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287D29">
        <w:rPr>
          <w:rFonts w:ascii="Times New Roman" w:hAnsi="Times New Roman" w:cs="Times New Roman"/>
          <w:sz w:val="24"/>
        </w:rPr>
        <w:t>Pravilnik o proračunskom računovodstvu i računskom planu (</w:t>
      </w:r>
      <w:r>
        <w:rPr>
          <w:rFonts w:ascii="Times New Roman" w:hAnsi="Times New Roman" w:cs="Times New Roman"/>
          <w:sz w:val="24"/>
        </w:rPr>
        <w:t xml:space="preserve">NN </w:t>
      </w:r>
      <w:r w:rsidRPr="00287D2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14/10, 31/11, 124/14, 115/15, 87/16, 3/18, 126/19, 108/20)</w:t>
      </w:r>
    </w:p>
    <w:p w14:paraId="3C6939E9" w14:textId="77777777" w:rsidR="00A63A80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Godišnji plan i program rada škole za školsku godinu 2023./2024.</w:t>
      </w:r>
    </w:p>
    <w:p w14:paraId="2BDF761D" w14:textId="77777777" w:rsidR="00A63A80" w:rsidRPr="00EC5E88" w:rsidRDefault="00A63A80" w:rsidP="00A63A8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Kurikulum škole za školsku godinu 2023./2024.</w:t>
      </w:r>
    </w:p>
    <w:p w14:paraId="36C3018A" w14:textId="77777777" w:rsidR="00A63A80" w:rsidRDefault="00A63A80" w:rsidP="00A63A80">
      <w:pPr>
        <w:tabs>
          <w:tab w:val="left" w:pos="127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Ciljevi provedbe programa:</w:t>
      </w:r>
    </w:p>
    <w:p w14:paraId="721EDE27" w14:textId="77777777" w:rsidR="00A63A80" w:rsidRDefault="00A63A80" w:rsidP="00A63A8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osiguravanje plaća zaposlenicima</w:t>
      </w:r>
    </w:p>
    <w:p w14:paraId="253D61E6" w14:textId="77777777" w:rsidR="00A63A80" w:rsidRPr="00EC5E88" w:rsidRDefault="00A63A80" w:rsidP="00A63A8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</w:t>
      </w:r>
      <w:r w:rsidRPr="00921484">
        <w:rPr>
          <w:rFonts w:ascii="Times New Roman" w:hAnsi="Times New Roman"/>
          <w:sz w:val="24"/>
        </w:rPr>
        <w:t xml:space="preserve">siguravanje materijalnih </w:t>
      </w:r>
      <w:r>
        <w:rPr>
          <w:rFonts w:ascii="Times New Roman" w:hAnsi="Times New Roman"/>
          <w:sz w:val="24"/>
        </w:rPr>
        <w:t>prav</w:t>
      </w:r>
      <w:r w:rsidRPr="00921484">
        <w:rPr>
          <w:rFonts w:ascii="Times New Roman" w:hAnsi="Times New Roman"/>
          <w:sz w:val="24"/>
        </w:rPr>
        <w:t xml:space="preserve">a za </w:t>
      </w:r>
      <w:r>
        <w:rPr>
          <w:rFonts w:ascii="Times New Roman" w:hAnsi="Times New Roman"/>
          <w:sz w:val="24"/>
        </w:rPr>
        <w:t>zaposlenike</w:t>
      </w:r>
    </w:p>
    <w:p w14:paraId="3EE18567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1732">
        <w:rPr>
          <w:rFonts w:ascii="Times New Roman" w:hAnsi="Times New Roman"/>
          <w:sz w:val="24"/>
        </w:rPr>
        <w:t xml:space="preserve">Pokazatelji uspješnosti: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i u skladu sa zakonom isplaćene plaće svim stalno i privremeno zaposlenim djelatnicima, redovito plaćanje svih materijalnih prava zaposlenika koji uključuju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jubilarn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nagrad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regres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godišnjeg odmora, pomoći za duže bolovanje radnika, božićnic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uskrsnic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>, pomoći za rođenje djeteta, dar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r w:rsidRPr="00921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i slično.</w:t>
      </w:r>
    </w:p>
    <w:p w14:paraId="6CC799E1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67484C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4D5351" w14:textId="77777777" w:rsidR="00A63A80" w:rsidRPr="00EC5E88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</w:rPr>
      </w:pPr>
      <w:r w:rsidRPr="00EC5E88">
        <w:rPr>
          <w:rFonts w:ascii="Times New Roman" w:hAnsi="Times New Roman"/>
          <w:i/>
          <w:sz w:val="24"/>
        </w:rPr>
        <w:lastRenderedPageBreak/>
        <w:t>Naziv aktivnosti: A700006</w:t>
      </w:r>
      <w:r>
        <w:rPr>
          <w:rFonts w:ascii="Times New Roman" w:hAnsi="Times New Roman"/>
          <w:i/>
          <w:sz w:val="24"/>
        </w:rPr>
        <w:t xml:space="preserve"> - </w:t>
      </w:r>
      <w:r w:rsidRPr="00EC5E88">
        <w:rPr>
          <w:rFonts w:ascii="Times New Roman" w:hAnsi="Times New Roman"/>
          <w:i/>
          <w:sz w:val="24"/>
        </w:rPr>
        <w:t xml:space="preserve"> Redovna djelatnost osnovnih škola - Državna riznica</w:t>
      </w:r>
    </w:p>
    <w:p w14:paraId="12821DC0" w14:textId="77777777" w:rsidR="00A63A80" w:rsidRDefault="00A63A80" w:rsidP="00A63A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aktivnosti: osiguravanje materijalnih uvjeta za provedbu redovnih djelatnosti, Isplata plaća i ostalih materijalnih prava zaposlenicima.</w:t>
      </w:r>
    </w:p>
    <w:p w14:paraId="24BC01A1" w14:textId="77777777" w:rsidR="00A63A80" w:rsidRPr="00FB2A15" w:rsidRDefault="00A63A80" w:rsidP="00A63A80">
      <w:pPr>
        <w:contextualSpacing/>
        <w:jc w:val="both"/>
        <w:rPr>
          <w:rFonts w:ascii="Times New Roman" w:hAnsi="Times New Roman" w:cs="Times New Roman"/>
          <w:i/>
          <w:sz w:val="24"/>
        </w:rPr>
      </w:pPr>
      <w:r w:rsidRPr="00FB2A15">
        <w:rPr>
          <w:rFonts w:ascii="Times New Roman" w:hAnsi="Times New Roman" w:cs="Times New Roman"/>
          <w:i/>
          <w:sz w:val="24"/>
        </w:rPr>
        <w:t xml:space="preserve">Tablica </w:t>
      </w:r>
      <w:r>
        <w:rPr>
          <w:rFonts w:ascii="Times New Roman" w:hAnsi="Times New Roman" w:cs="Times New Roman"/>
          <w:i/>
          <w:sz w:val="24"/>
        </w:rPr>
        <w:t>6.</w:t>
      </w:r>
      <w:r w:rsidRPr="00FB2A15">
        <w:rPr>
          <w:rFonts w:ascii="Times New Roman" w:hAnsi="Times New Roman" w:cs="Times New Roman"/>
          <w:i/>
          <w:sz w:val="24"/>
        </w:rPr>
        <w:t xml:space="preserve"> – Rashodi aktivnosti/programa po izvorima financiranja iskazani u Financijskom planu za 2024. godinu </w:t>
      </w:r>
    </w:p>
    <w:tbl>
      <w:tblPr>
        <w:tblStyle w:val="PlainTable4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A63A80" w:rsidRPr="00FB2A15" w14:paraId="6302151C" w14:textId="77777777" w:rsidTr="00360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hideMark/>
          </w:tcPr>
          <w:p w14:paraId="5B973DC7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>Potrebna sredstva za provođenje aktivnosti/programa po izvorima</w:t>
            </w:r>
          </w:p>
        </w:tc>
        <w:tc>
          <w:tcPr>
            <w:tcW w:w="2410" w:type="dxa"/>
            <w:hideMark/>
          </w:tcPr>
          <w:p w14:paraId="5429CF49" w14:textId="77777777" w:rsidR="00A63A80" w:rsidRPr="00FB2A15" w:rsidRDefault="00A63A80" w:rsidP="003603D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Cs w:val="0"/>
                <w:lang w:eastAsia="hr-HR"/>
              </w:rPr>
              <w:t xml:space="preserve">PLAN 2024. </w:t>
            </w:r>
            <w:r w:rsidRPr="00FB2A15">
              <w:rPr>
                <w:rFonts w:ascii="Times New Roman" w:eastAsia="Times New Roman" w:hAnsi="Times New Roman" w:cs="Times New Roman"/>
                <w:lang w:eastAsia="hr-HR"/>
              </w:rPr>
              <w:t xml:space="preserve"> (€)</w:t>
            </w:r>
          </w:p>
        </w:tc>
      </w:tr>
      <w:tr w:rsidR="00A63A80" w:rsidRPr="00FB2A15" w14:paraId="0B7A5EAD" w14:textId="77777777" w:rsidTr="00360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1F0BB18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 xml:space="preserve">9.2. </w:t>
            </w:r>
            <w:r w:rsidRPr="00921484">
              <w:rPr>
                <w:rFonts w:ascii="Times New Roman" w:eastAsia="Times New Roman" w:hAnsi="Times New Roman" w:cs="Times New Roman"/>
                <w:b w:val="0"/>
                <w:color w:val="000000"/>
                <w:lang w:eastAsia="hr-HR"/>
              </w:rPr>
              <w:t>Pomoći od Državne riznice - PK</w:t>
            </w:r>
          </w:p>
        </w:tc>
        <w:tc>
          <w:tcPr>
            <w:tcW w:w="2410" w:type="dxa"/>
            <w:hideMark/>
          </w:tcPr>
          <w:p w14:paraId="6B468572" w14:textId="77777777" w:rsidR="00A63A80" w:rsidRPr="00FB2A15" w:rsidRDefault="00A63A80" w:rsidP="003603D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2148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1.828.785,00</w:t>
            </w:r>
          </w:p>
        </w:tc>
      </w:tr>
      <w:tr w:rsidR="00A63A80" w:rsidRPr="00FB2A15" w14:paraId="3CA3E116" w14:textId="77777777" w:rsidTr="003603D1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08EDADA" w14:textId="77777777" w:rsidR="00A63A80" w:rsidRPr="00FB2A15" w:rsidRDefault="00A63A80" w:rsidP="003603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B2A1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UKUPNA SREDSTVA </w:t>
            </w:r>
          </w:p>
        </w:tc>
        <w:tc>
          <w:tcPr>
            <w:tcW w:w="2410" w:type="dxa"/>
            <w:hideMark/>
          </w:tcPr>
          <w:p w14:paraId="336ECC64" w14:textId="77777777" w:rsidR="00A63A80" w:rsidRPr="00B21AEF" w:rsidRDefault="00A63A80" w:rsidP="003603D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92148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1.828.785,00</w:t>
            </w:r>
          </w:p>
        </w:tc>
      </w:tr>
    </w:tbl>
    <w:p w14:paraId="1BCB5A58" w14:textId="77777777" w:rsidR="00623E00" w:rsidRDefault="00623E00"/>
    <w:p w14:paraId="7720F3A1" w14:textId="77777777" w:rsidR="00A63A80" w:rsidRDefault="00A63A80"/>
    <w:p w14:paraId="1D67365A" w14:textId="2F0B31BE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>KLASA:</w:t>
      </w:r>
      <w:r w:rsidRPr="00A02B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400-02/23-01/01</w:t>
      </w:r>
    </w:p>
    <w:p w14:paraId="1B9CE819" w14:textId="24CA2704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 xml:space="preserve">URBROJ: </w:t>
      </w:r>
      <w:r>
        <w:rPr>
          <w:rFonts w:ascii="Times New Roman" w:eastAsia="Calibri" w:hAnsi="Times New Roman" w:cs="Times New Roman"/>
          <w:sz w:val="24"/>
        </w:rPr>
        <w:t>238-31-49-23-01</w:t>
      </w:r>
    </w:p>
    <w:p w14:paraId="6D80D2E8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02280798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14:paraId="54B808B1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68316" wp14:editId="7EDFD435">
                <wp:simplePos x="0" y="0"/>
                <wp:positionH relativeFrom="column">
                  <wp:posOffset>1495425</wp:posOffset>
                </wp:positionH>
                <wp:positionV relativeFrom="paragraph">
                  <wp:posOffset>142875</wp:posOffset>
                </wp:positionV>
                <wp:extent cx="962025" cy="9525"/>
                <wp:effectExtent l="0" t="0" r="28575" b="28575"/>
                <wp:wrapNone/>
                <wp:docPr id="814201123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357D2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1.25pt" to="19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Ae0ow6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CE0C6" wp14:editId="13A7FEF3">
                <wp:simplePos x="0" y="0"/>
                <wp:positionH relativeFrom="column">
                  <wp:posOffset>243205</wp:posOffset>
                </wp:positionH>
                <wp:positionV relativeFrom="paragraph">
                  <wp:posOffset>139065</wp:posOffset>
                </wp:positionV>
                <wp:extent cx="962025" cy="9525"/>
                <wp:effectExtent l="0" t="0" r="28575" b="28575"/>
                <wp:wrapNone/>
                <wp:docPr id="1820434406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9963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10.95pt" to="9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Times New Roman" w:eastAsia="Calibri" w:hAnsi="Times New Roman" w:cs="Times New Roman"/>
        </w:rPr>
        <w:t xml:space="preserve">U </w:t>
      </w:r>
      <w:r w:rsidRPr="00A02B30">
        <w:rPr>
          <w:rFonts w:ascii="Times New Roman" w:eastAsia="Calibri" w:hAnsi="Times New Roman" w:cs="Times New Roman"/>
          <w:color w:val="FFFFFF"/>
          <w:u w:val="single"/>
        </w:rPr>
        <w:t xml:space="preserve">  </w:t>
      </w:r>
      <w:r w:rsidRPr="00A02B30">
        <w:rPr>
          <w:rFonts w:ascii="Times New Roman" w:eastAsia="Calibri" w:hAnsi="Times New Roman" w:cs="Times New Roman"/>
        </w:rPr>
        <w:t xml:space="preserve">  Velikoj Gorici </w:t>
      </w:r>
      <w:r w:rsidRPr="00A02B30">
        <w:rPr>
          <w:rFonts w:ascii="Times New Roman" w:eastAsia="Calibri" w:hAnsi="Times New Roman" w:cs="Times New Roman"/>
        </w:rPr>
        <w:tab/>
        <w:t xml:space="preserve">       14.11.2023.                </w:t>
      </w:r>
    </w:p>
    <w:p w14:paraId="33324A2B" w14:textId="77777777" w:rsidR="00A02B30" w:rsidRPr="00A02B30" w:rsidRDefault="00A02B30" w:rsidP="00A02B3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Times New Roman" w:eastAsia="Calibri" w:hAnsi="Times New Roman" w:cs="Times New Roman"/>
        </w:rPr>
        <w:t xml:space="preserve">                (Mjesto)                       (Datum)</w:t>
      </w:r>
    </w:p>
    <w:p w14:paraId="2B541243" w14:textId="77777777" w:rsidR="00A02B30" w:rsidRPr="00A02B30" w:rsidRDefault="00A02B30" w:rsidP="00A02B30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A02B30">
        <w:rPr>
          <w:rFonts w:ascii="Times New Roman" w:eastAsia="Calibri" w:hAnsi="Times New Roman" w:cs="Times New Roman"/>
        </w:rPr>
        <w:t xml:space="preserve">                                              </w:t>
      </w:r>
    </w:p>
    <w:p w14:paraId="534D687C" w14:textId="77777777" w:rsidR="00A02B30" w:rsidRPr="00A02B30" w:rsidRDefault="00A02B30" w:rsidP="00A02B30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Ravnatelj: </w:t>
      </w:r>
    </w:p>
    <w:p w14:paraId="5BAE3636" w14:textId="77777777" w:rsidR="00A02B30" w:rsidRPr="00A02B30" w:rsidRDefault="00A02B30" w:rsidP="00A02B30">
      <w:pPr>
        <w:tabs>
          <w:tab w:val="left" w:pos="7245"/>
        </w:tabs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C5CDC" wp14:editId="3CB340AF">
                <wp:simplePos x="0" y="0"/>
                <wp:positionH relativeFrom="column">
                  <wp:posOffset>4196080</wp:posOffset>
                </wp:positionH>
                <wp:positionV relativeFrom="paragraph">
                  <wp:posOffset>250190</wp:posOffset>
                </wp:positionV>
                <wp:extent cx="1685925" cy="0"/>
                <wp:effectExtent l="0" t="0" r="0" b="0"/>
                <wp:wrapNone/>
                <wp:docPr id="62168311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B164A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pt,19.7pt" to="463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A02B30">
        <w:rPr>
          <w:rFonts w:ascii="Times New Roman" w:eastAsia="Calibri" w:hAnsi="Times New Roman" w:cs="Times New Roman"/>
          <w:sz w:val="24"/>
        </w:rPr>
        <w:tab/>
      </w:r>
    </w:p>
    <w:p w14:paraId="4562954D" w14:textId="77777777" w:rsidR="00A02B30" w:rsidRPr="00A02B30" w:rsidRDefault="00A02B30" w:rsidP="00A02B30">
      <w:pPr>
        <w:tabs>
          <w:tab w:val="left" w:pos="7245"/>
        </w:tabs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02B30">
        <w:rPr>
          <w:rFonts w:ascii="Times New Roman" w:eastAsia="Calibri" w:hAnsi="Times New Roman" w:cs="Times New Roman"/>
          <w:sz w:val="24"/>
        </w:rPr>
        <w:tab/>
        <w:t>Borut Vidošević</w:t>
      </w:r>
    </w:p>
    <w:p w14:paraId="01CF655A" w14:textId="77777777" w:rsidR="00A63A80" w:rsidRDefault="00A63A80"/>
    <w:sectPr w:rsidR="00A6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4FD"/>
    <w:multiLevelType w:val="multilevel"/>
    <w:tmpl w:val="58B0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8F1005"/>
    <w:multiLevelType w:val="hybridMultilevel"/>
    <w:tmpl w:val="667E7C5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42DA"/>
    <w:multiLevelType w:val="hybridMultilevel"/>
    <w:tmpl w:val="CEE249F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F43"/>
    <w:multiLevelType w:val="hybridMultilevel"/>
    <w:tmpl w:val="528C24A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8957">
    <w:abstractNumId w:val="1"/>
  </w:num>
  <w:num w:numId="2" w16cid:durableId="102383634">
    <w:abstractNumId w:val="2"/>
  </w:num>
  <w:num w:numId="3" w16cid:durableId="1469517045">
    <w:abstractNumId w:val="0"/>
  </w:num>
  <w:num w:numId="4" w16cid:durableId="72564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80"/>
    <w:rsid w:val="00354811"/>
    <w:rsid w:val="00623E00"/>
    <w:rsid w:val="00A02B30"/>
    <w:rsid w:val="00A6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68D"/>
  <w15:chartTrackingRefBased/>
  <w15:docId w15:val="{6776D931-78AE-4B22-9D5D-1442F3F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8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A80"/>
    <w:pPr>
      <w:ind w:left="720"/>
      <w:contextualSpacing/>
    </w:pPr>
  </w:style>
  <w:style w:type="table" w:styleId="TableGrid">
    <w:name w:val="Table Grid"/>
    <w:basedOn w:val="TableNormal"/>
    <w:uiPriority w:val="39"/>
    <w:rsid w:val="00A63A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63A8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-Accent3">
    <w:name w:val="Grid Table 6 Colorful Accent 3"/>
    <w:basedOn w:val="TableNormal"/>
    <w:uiPriority w:val="51"/>
    <w:rsid w:val="00A63A80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Matić</dc:creator>
  <cp:keywords/>
  <dc:description/>
  <cp:lastModifiedBy>Marijana Cvetković</cp:lastModifiedBy>
  <cp:revision>2</cp:revision>
  <dcterms:created xsi:type="dcterms:W3CDTF">2024-03-04T11:33:00Z</dcterms:created>
  <dcterms:modified xsi:type="dcterms:W3CDTF">2024-03-04T11:33:00Z</dcterms:modified>
</cp:coreProperties>
</file>